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9A8" w:rsidRPr="000979A8" w:rsidRDefault="000979A8" w:rsidP="000979A8">
      <w:pPr>
        <w:spacing w:after="20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979A8">
        <w:rPr>
          <w:rFonts w:ascii="Trebuchet MS" w:eastAsiaTheme="minorEastAsia" w:hAnsi="Trebuchet MS" w:cs="Times New Roman"/>
          <w:b/>
          <w:sz w:val="24"/>
          <w:szCs w:val="24"/>
          <w:u w:val="single"/>
          <w:lang w:eastAsia="en-GB"/>
        </w:rPr>
        <w:t>Delegated Application Report</w:t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ab/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ab/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ab/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ab/>
        <w:t xml:space="preserve">          </w:t>
      </w:r>
    </w:p>
    <w:p w:rsidR="000979A8" w:rsidRPr="000979A8" w:rsidRDefault="000979A8" w:rsidP="000979A8">
      <w:pPr>
        <w:spacing w:after="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979A8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 xml:space="preserve">Address: </w:t>
      </w:r>
      <w:r w:rsidR="00F97B25" w:rsidRPr="00F97B25">
        <w:rPr>
          <w:rFonts w:ascii="Trebuchet MS" w:eastAsiaTheme="minorEastAsia" w:hAnsi="Trebuchet MS" w:cs="Times New Roman"/>
          <w:bCs/>
          <w:sz w:val="24"/>
          <w:szCs w:val="24"/>
          <w:lang w:eastAsia="en-GB"/>
        </w:rPr>
        <w:t>66-68 St Marys Butts</w:t>
      </w:r>
    </w:p>
    <w:p w:rsidR="000979A8" w:rsidRPr="000979A8" w:rsidRDefault="000979A8" w:rsidP="000979A8">
      <w:pPr>
        <w:spacing w:after="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979A8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Application No:</w:t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="00F97B25" w:rsidRPr="00F97B25">
        <w:rPr>
          <w:rFonts w:ascii="Trebuchet MS" w:eastAsiaTheme="minorEastAsia" w:hAnsi="Trebuchet MS" w:cs="Times New Roman"/>
          <w:sz w:val="24"/>
          <w:szCs w:val="24"/>
          <w:lang w:val="en-US" w:eastAsia="en-GB"/>
        </w:rPr>
        <w:t xml:space="preserve">211160 / </w:t>
      </w:r>
      <w:r w:rsidR="00F97B25" w:rsidRPr="00F97B25">
        <w:rPr>
          <w:rFonts w:ascii="Trebuchet MS" w:eastAsiaTheme="minorEastAsia" w:hAnsi="Trebuchet MS" w:cs="Times New Roman"/>
          <w:bCs/>
          <w:sz w:val="24"/>
          <w:szCs w:val="24"/>
          <w:lang w:eastAsia="en-GB"/>
        </w:rPr>
        <w:t xml:space="preserve">CLP  </w:t>
      </w:r>
      <w:r w:rsidR="00F97B25" w:rsidRPr="00F97B25">
        <w:rPr>
          <w:rFonts w:ascii="Trebuchet MS" w:eastAsiaTheme="minorEastAsia" w:hAnsi="Trebuchet MS" w:cs="Times New Roman"/>
          <w:sz w:val="24"/>
          <w:szCs w:val="24"/>
          <w:lang w:val="en-US" w:eastAsia="en-GB"/>
        </w:rPr>
        <w:t xml:space="preserve">   </w:t>
      </w:r>
    </w:p>
    <w:p w:rsidR="000979A8" w:rsidRPr="000979A8" w:rsidRDefault="000979A8" w:rsidP="000979A8">
      <w:pPr>
        <w:spacing w:after="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979A8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 xml:space="preserve">Proposal: </w:t>
      </w:r>
      <w:r w:rsidR="00F97B25" w:rsidRPr="00F97B25">
        <w:rPr>
          <w:rFonts w:ascii="Trebuchet MS" w:eastAsiaTheme="minorEastAsia" w:hAnsi="Trebuchet MS" w:cs="Times New Roman"/>
          <w:sz w:val="24"/>
          <w:szCs w:val="24"/>
          <w:lang w:eastAsia="en-GB"/>
        </w:rPr>
        <w:t>Recladding of Broad Street and St Mary's Butts elevation.</w:t>
      </w:r>
    </w:p>
    <w:p w:rsidR="000979A8" w:rsidRDefault="000979A8" w:rsidP="000979A8">
      <w:pPr>
        <w:spacing w:after="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979A8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Case Officer:</w:t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Beatrice Malama</w:t>
      </w:r>
      <w:r w:rsidR="00F97B25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</w:p>
    <w:p w:rsidR="000979A8" w:rsidRPr="000979A8" w:rsidRDefault="000979A8" w:rsidP="000979A8">
      <w:pPr>
        <w:spacing w:after="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979A8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 xml:space="preserve">Target Date: </w:t>
      </w:r>
      <w:r w:rsidR="00F97B25" w:rsidRPr="00365BFD">
        <w:rPr>
          <w:rFonts w:ascii="Trebuchet MS" w:eastAsiaTheme="minorEastAsia" w:hAnsi="Trebuchet MS" w:cs="Times New Roman"/>
          <w:sz w:val="24"/>
          <w:szCs w:val="24"/>
          <w:lang w:eastAsia="en-GB"/>
        </w:rPr>
        <w:t>10</w:t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>/0</w:t>
      </w:r>
      <w:r w:rsidR="00F97B25" w:rsidRPr="00365BFD">
        <w:rPr>
          <w:rFonts w:ascii="Trebuchet MS" w:eastAsiaTheme="minorEastAsia" w:hAnsi="Trebuchet MS" w:cs="Times New Roman"/>
          <w:sz w:val="24"/>
          <w:szCs w:val="24"/>
          <w:lang w:eastAsia="en-GB"/>
        </w:rPr>
        <w:t>9</w:t>
      </w:r>
      <w:r w:rsidRPr="000979A8">
        <w:rPr>
          <w:rFonts w:ascii="Trebuchet MS" w:eastAsiaTheme="minorEastAsia" w:hAnsi="Trebuchet MS" w:cs="Times New Roman"/>
          <w:sz w:val="24"/>
          <w:szCs w:val="24"/>
          <w:lang w:eastAsia="en-GB"/>
        </w:rPr>
        <w:t>/21</w:t>
      </w:r>
    </w:p>
    <w:p w:rsidR="000979A8" w:rsidRPr="000979A8" w:rsidRDefault="000979A8" w:rsidP="000979A8">
      <w:pPr>
        <w:spacing w:after="0" w:line="240" w:lineRule="auto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0979A8" w:rsidRPr="00E15CBA" w:rsidRDefault="000979A8" w:rsidP="000979A8">
      <w:pPr>
        <w:spacing w:after="0" w:line="240" w:lineRule="auto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E15CBA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Introduction and Proposal</w:t>
      </w:r>
    </w:p>
    <w:p w:rsidR="000979A8" w:rsidRPr="00E15CBA" w:rsidRDefault="000979A8" w:rsidP="000979A8">
      <w:pPr>
        <w:spacing w:after="0" w:line="240" w:lineRule="auto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FD3F6D" w:rsidRPr="00F967AF" w:rsidRDefault="000979A8" w:rsidP="00F967AF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15CBA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The application site is a </w:t>
      </w:r>
      <w:r w:rsid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>three</w:t>
      </w:r>
      <w:r w:rsidR="00F967AF" w:rsidRPr="00E15CBA">
        <w:rPr>
          <w:rFonts w:ascii="Trebuchet MS" w:eastAsiaTheme="minorEastAsia" w:hAnsi="Trebuchet MS" w:cs="Times New Roman"/>
          <w:sz w:val="24"/>
          <w:szCs w:val="24"/>
          <w:lang w:eastAsia="en-GB"/>
        </w:rPr>
        <w:t>-storey</w:t>
      </w:r>
      <w:r w:rsidRPr="00E15CBA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="00E15CBA">
        <w:rPr>
          <w:rFonts w:ascii="Trebuchet MS" w:eastAsiaTheme="minorEastAsia" w:hAnsi="Trebuchet MS" w:cs="Times New Roman"/>
          <w:sz w:val="24"/>
          <w:szCs w:val="24"/>
          <w:lang w:eastAsia="en-GB"/>
        </w:rPr>
        <w:t>building</w:t>
      </w:r>
      <w:r w:rsidRPr="00E15CBA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located </w:t>
      </w:r>
      <w:r w:rsidR="00461BC7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at the corner of St Mary’s Butts and Broad Street. </w:t>
      </w:r>
      <w:r w:rsidRP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>The</w:t>
      </w:r>
      <w:r w:rsidR="00FD3F6D" w:rsidRP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="00F967AF" w:rsidRP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>property</w:t>
      </w:r>
      <w:r w:rsidR="00FD3F6D" w:rsidRP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has brick slip cladding designed in a basket weave pattern with zinc cladding at the top of the building. The ground floor of the building is currently used as a coffee shop whereas the upper floors are used as offices. The property is not </w:t>
      </w:r>
      <w:proofErr w:type="gramStart"/>
      <w:r w:rsidR="00FD3F6D" w:rsidRP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>listed</w:t>
      </w:r>
      <w:proofErr w:type="gramEnd"/>
      <w:r w:rsidR="00FD3F6D" w:rsidRPr="00F967AF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nor does it fall within a conservation area. </w:t>
      </w:r>
    </w:p>
    <w:p w:rsidR="000979A8" w:rsidRPr="000979A8" w:rsidRDefault="000979A8" w:rsidP="000979A8">
      <w:pPr>
        <w:autoSpaceDE w:val="0"/>
        <w:autoSpaceDN w:val="0"/>
        <w:adjustRightInd w:val="0"/>
        <w:spacing w:after="0" w:line="240" w:lineRule="auto"/>
        <w:rPr>
          <w:rFonts w:ascii="Trebuchet MS" w:eastAsiaTheme="minorEastAsia" w:hAnsi="Trebuchet MS" w:cs="Arial"/>
          <w:color w:val="FF0000"/>
          <w:sz w:val="24"/>
          <w:szCs w:val="24"/>
        </w:rPr>
      </w:pPr>
    </w:p>
    <w:p w:rsidR="000979A8" w:rsidRPr="00D556E0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Plans Submitted</w:t>
      </w:r>
    </w:p>
    <w:p w:rsidR="000979A8" w:rsidRPr="00D556E0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D556E0" w:rsidRP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E200 – Location Plan</w:t>
      </w:r>
    </w:p>
    <w:p w:rsidR="00D556E0" w:rsidRP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E201 – Existing Elevation 1 &amp; 2</w:t>
      </w:r>
    </w:p>
    <w:p w:rsidR="00D556E0" w:rsidRP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E202 – Existing Elevation 3</w:t>
      </w:r>
    </w:p>
    <w:p w:rsidR="00C67FC4" w:rsidRPr="00D556E0" w:rsidRDefault="00C67FC4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E203 - Existing Zinc Stair Core Elevation </w:t>
      </w:r>
    </w:p>
    <w:p w:rsidR="00C67FC4" w:rsidRDefault="00C67FC4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</w:t>
      </w:r>
      <w:r w:rsidR="00D556E0"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E207 – Existing Tiling Layout</w:t>
      </w:r>
    </w:p>
    <w:p w:rsidR="00D556E0" w:rsidRDefault="00D556E0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D556E0" w:rsidRP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201 –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Proposed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Elevation 1 &amp; 2</w:t>
      </w:r>
    </w:p>
    <w:p w:rsidR="00D556E0" w:rsidRP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E202 –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Proposed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Elevation 3</w:t>
      </w:r>
    </w:p>
    <w:p w:rsidR="00D556E0" w:rsidRP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2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11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–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Elevation 2 Brick Return Concept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</w:p>
    <w:p w:rsid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207 –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Proposed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Tiling Layout</w:t>
      </w:r>
    </w:p>
    <w:p w:rsidR="00D556E0" w:rsidRDefault="00D556E0" w:rsidP="00D556E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P503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–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Building Abutment Detail</w:t>
      </w:r>
    </w:p>
    <w:p w:rsidR="007466C6" w:rsidRDefault="007466C6" w:rsidP="007466C6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7466C6" w:rsidRDefault="007466C6" w:rsidP="007466C6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466C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Planning Statement ISSUE 3 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(</w:t>
      </w:r>
      <w:r w:rsidRPr="007466C6">
        <w:rPr>
          <w:rFonts w:ascii="Trebuchet MS" w:eastAsiaTheme="minorEastAsia" w:hAnsi="Trebuchet MS" w:cs="Times New Roman"/>
          <w:sz w:val="24"/>
          <w:szCs w:val="24"/>
          <w:lang w:eastAsia="en-GB"/>
        </w:rPr>
        <w:t>8</w:t>
      </w: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)</w:t>
      </w:r>
      <w:r w:rsidRPr="007466C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28</w:t>
      </w:r>
      <w:r w:rsidRPr="007466C6">
        <w:rPr>
          <w:rFonts w:ascii="Trebuchet MS" w:eastAsiaTheme="minorEastAsia" w:hAnsi="Trebuchet MS" w:cs="Times New Roman"/>
          <w:sz w:val="24"/>
          <w:szCs w:val="24"/>
          <w:vertAlign w:val="superscript"/>
          <w:lang w:eastAsia="en-GB"/>
        </w:rPr>
        <w:t>th</w:t>
      </w:r>
      <w:r w:rsidRPr="007466C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June 2021</w:t>
      </w:r>
    </w:p>
    <w:p w:rsidR="007466C6" w:rsidRDefault="007466C6" w:rsidP="007466C6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>
        <w:rPr>
          <w:rFonts w:ascii="Trebuchet MS" w:eastAsiaTheme="minorEastAsia" w:hAnsi="Trebuchet MS" w:cs="Times New Roman"/>
          <w:sz w:val="24"/>
          <w:szCs w:val="24"/>
          <w:lang w:eastAsia="en-GB"/>
        </w:rPr>
        <w:t>Application letter dated 12 July 2021</w:t>
      </w:r>
    </w:p>
    <w:p w:rsidR="000979A8" w:rsidRPr="00D556E0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Received </w:t>
      </w:r>
      <w:r w:rsidR="00D556E0"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>12</w:t>
      </w:r>
      <w:r w:rsidR="00D556E0" w:rsidRPr="00D556E0">
        <w:rPr>
          <w:rFonts w:ascii="Trebuchet MS" w:eastAsiaTheme="minorEastAsia" w:hAnsi="Trebuchet MS" w:cs="Times New Roman"/>
          <w:sz w:val="24"/>
          <w:szCs w:val="24"/>
          <w:vertAlign w:val="superscript"/>
          <w:lang w:eastAsia="en-GB"/>
        </w:rPr>
        <w:t>th</w:t>
      </w:r>
      <w:r w:rsidR="00D556E0"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July</w:t>
      </w:r>
      <w:r w:rsidRPr="00D556E0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2021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77342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Relevant Planning History</w:t>
      </w:r>
    </w:p>
    <w:p w:rsidR="00EB5530" w:rsidRPr="00773423" w:rsidRDefault="00EB5530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EB5530" w:rsidRPr="00773423" w:rsidRDefault="00EB5530" w:rsidP="00EB553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131550/FUL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-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Application for approval of details reserved by condition 3 of</w:t>
      </w:r>
    </w:p>
    <w:p w:rsidR="00EB5530" w:rsidRPr="00773423" w:rsidRDefault="00EB5530" w:rsidP="00EB553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permission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– Discharged </w:t>
      </w:r>
    </w:p>
    <w:p w:rsidR="00EB5530" w:rsidRPr="00773423" w:rsidRDefault="00EB5530" w:rsidP="00EB553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EB5530" w:rsidRPr="00773423" w:rsidRDefault="00EB5530" w:rsidP="00EB553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150350/FUL -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Application for approval of details reserved by condition (131550)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– Discharged</w:t>
      </w:r>
    </w:p>
    <w:p w:rsidR="00EB5530" w:rsidRPr="00773423" w:rsidRDefault="00EB5530" w:rsidP="00EB5530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151146/NMA - N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on-material amendment following a grant of planning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permission (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131550) for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replacement cladding to entrance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– Permitted</w:t>
      </w: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151901/NMA - Non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-material amendment following a grant of planning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permission (131550) to increase the height of the junction between the flat lock zinc cladding and Alucobond cladding within the existing entryway up to a height of 4.19m (previous approved height of Alucobond cladding of 3.42m)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– Permitted</w:t>
      </w: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152095/PRE-APP -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Vinyl bands and strips applied to inside face of windows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– Responded</w:t>
      </w: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1600019/ADV -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Vinyl manifestation applied to inside face of glass to windows within</w:t>
      </w:r>
    </w:p>
    <w:p w:rsidR="00773423" w:rsidRP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Reed's unit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- Permitted</w:t>
      </w:r>
    </w:p>
    <w:p w:rsidR="00773423" w:rsidRDefault="00773423" w:rsidP="00773423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Summary of Consultations</w:t>
      </w: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>No consultations were undertaken as it is not required for an application of this type.</w:t>
      </w: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Relevant Planning Policy and Guidance</w:t>
      </w: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>National Planning Practice Guidance</w:t>
      </w: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>The Town and Country Planning Act (1990)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0979A8" w:rsidRPr="00AA3F6B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AA3F6B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Assessment</w:t>
      </w:r>
    </w:p>
    <w:p w:rsidR="000979A8" w:rsidRPr="00AA3F6B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en-GB"/>
        </w:rPr>
      </w:pPr>
    </w:p>
    <w:p w:rsidR="000979A8" w:rsidRPr="00AA3F6B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en-GB"/>
        </w:rPr>
      </w:pPr>
      <w:r w:rsidRPr="00AA3F6B">
        <w:rPr>
          <w:rFonts w:ascii="Trebuchet MS" w:eastAsia="Times New Roman" w:hAnsi="Trebuchet MS" w:cs="Arial"/>
          <w:sz w:val="24"/>
          <w:szCs w:val="24"/>
          <w:lang w:eastAsia="en-GB"/>
        </w:rPr>
        <w:t xml:space="preserve">The applicant is wanting to establish if the </w:t>
      </w:r>
      <w:r w:rsidR="00AA3F6B" w:rsidRPr="00AA3F6B">
        <w:rPr>
          <w:rFonts w:ascii="Trebuchet MS" w:eastAsia="Times New Roman" w:hAnsi="Trebuchet MS" w:cs="Arial"/>
          <w:sz w:val="24"/>
          <w:szCs w:val="24"/>
          <w:lang w:eastAsia="en-GB"/>
        </w:rPr>
        <w:t xml:space="preserve">proposed recladding </w:t>
      </w:r>
      <w:r w:rsidRPr="00AA3F6B">
        <w:rPr>
          <w:rFonts w:ascii="Trebuchet MS" w:eastAsia="Times New Roman" w:hAnsi="Trebuchet MS" w:cs="Arial"/>
          <w:sz w:val="24"/>
          <w:szCs w:val="24"/>
          <w:lang w:eastAsia="en-GB"/>
        </w:rPr>
        <w:t>would qualify as Permitted Development (</w:t>
      </w:r>
      <w:proofErr w:type="spellStart"/>
      <w:r w:rsidRPr="00AA3F6B">
        <w:rPr>
          <w:rFonts w:ascii="Trebuchet MS" w:eastAsia="Times New Roman" w:hAnsi="Trebuchet MS" w:cs="Arial"/>
          <w:sz w:val="24"/>
          <w:szCs w:val="24"/>
          <w:lang w:eastAsia="en-GB"/>
        </w:rPr>
        <w:t>ie</w:t>
      </w:r>
      <w:proofErr w:type="spellEnd"/>
      <w:r w:rsidRPr="00AA3F6B">
        <w:rPr>
          <w:rFonts w:ascii="Trebuchet MS" w:eastAsia="Times New Roman" w:hAnsi="Trebuchet MS" w:cs="Arial"/>
          <w:sz w:val="24"/>
          <w:szCs w:val="24"/>
          <w:lang w:eastAsia="en-GB"/>
        </w:rPr>
        <w:t xml:space="preserve">. not requiring planning permission). </w:t>
      </w:r>
    </w:p>
    <w:p w:rsidR="000979A8" w:rsidRPr="000979A8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FF0000"/>
          <w:sz w:val="24"/>
          <w:szCs w:val="24"/>
          <w:lang w:eastAsia="en-GB"/>
        </w:rPr>
      </w:pPr>
    </w:p>
    <w:p w:rsidR="000979A8" w:rsidRPr="000507E7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en-GB"/>
        </w:rPr>
      </w:pPr>
      <w:r w:rsidRPr="000507E7">
        <w:rPr>
          <w:rFonts w:ascii="Trebuchet MS" w:eastAsia="Times New Roman" w:hAnsi="Trebuchet MS" w:cs="Arial"/>
          <w:sz w:val="24"/>
          <w:szCs w:val="24"/>
          <w:lang w:eastAsia="en-GB"/>
        </w:rPr>
        <w:t>Section 55(1) of the Town and Country Planning Act (1990) provides the definition of development for which planning permission is required.</w:t>
      </w:r>
    </w:p>
    <w:p w:rsidR="000979A8" w:rsidRPr="000507E7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en-GB"/>
        </w:rPr>
      </w:pPr>
    </w:p>
    <w:p w:rsidR="000979A8" w:rsidRPr="000507E7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en-GB"/>
        </w:rPr>
      </w:pPr>
      <w:r w:rsidRPr="000507E7">
        <w:rPr>
          <w:rFonts w:ascii="Trebuchet MS" w:eastAsia="Times New Roman" w:hAnsi="Trebuchet MS" w:cs="Arial"/>
          <w:sz w:val="24"/>
          <w:szCs w:val="24"/>
          <w:lang w:eastAsia="en-GB"/>
        </w:rPr>
        <w:t xml:space="preserve">Section 55(2) describes what does not constitute as ‘development’ under the Act, and therefore planning permission is not required: </w:t>
      </w:r>
    </w:p>
    <w:p w:rsidR="000979A8" w:rsidRPr="000979A8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i/>
          <w:color w:val="FF0000"/>
          <w:sz w:val="24"/>
          <w:szCs w:val="24"/>
          <w:lang w:eastAsia="en-GB"/>
        </w:rPr>
      </w:pPr>
    </w:p>
    <w:p w:rsidR="000979A8" w:rsidRPr="000507E7" w:rsidRDefault="000979A8" w:rsidP="000979A8">
      <w:pPr>
        <w:shd w:val="clear" w:color="auto" w:fill="FFFFFF"/>
        <w:spacing w:after="120" w:line="360" w:lineRule="atLeast"/>
        <w:rPr>
          <w:rFonts w:ascii="Trebuchet MS" w:eastAsiaTheme="minorEastAsia" w:hAnsi="Trebuchet MS" w:cs="Arial"/>
          <w:i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Arial"/>
          <w:i/>
          <w:sz w:val="24"/>
          <w:szCs w:val="24"/>
          <w:lang w:eastAsia="en-GB"/>
        </w:rPr>
        <w:t>(a)the carrying out for the maintenance, improvement or other alteration of any building of works which—</w:t>
      </w:r>
    </w:p>
    <w:p w:rsidR="000979A8" w:rsidRPr="000507E7" w:rsidRDefault="000979A8" w:rsidP="000979A8">
      <w:pPr>
        <w:shd w:val="clear" w:color="auto" w:fill="FFFFFF"/>
        <w:spacing w:after="120" w:line="360" w:lineRule="atLeast"/>
        <w:rPr>
          <w:rFonts w:ascii="Trebuchet MS" w:eastAsiaTheme="minorEastAsia" w:hAnsi="Trebuchet MS" w:cs="Arial"/>
          <w:i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Arial"/>
          <w:i/>
          <w:sz w:val="24"/>
          <w:szCs w:val="24"/>
          <w:lang w:eastAsia="en-GB"/>
        </w:rPr>
        <w:t>(</w:t>
      </w:r>
      <w:proofErr w:type="spellStart"/>
      <w:r w:rsidRPr="000507E7">
        <w:rPr>
          <w:rFonts w:ascii="Trebuchet MS" w:eastAsiaTheme="minorEastAsia" w:hAnsi="Trebuchet MS" w:cs="Arial"/>
          <w:i/>
          <w:sz w:val="24"/>
          <w:szCs w:val="24"/>
          <w:lang w:eastAsia="en-GB"/>
        </w:rPr>
        <w:t>i</w:t>
      </w:r>
      <w:proofErr w:type="spellEnd"/>
      <w:r w:rsidRPr="000507E7">
        <w:rPr>
          <w:rFonts w:ascii="Trebuchet MS" w:eastAsiaTheme="minorEastAsia" w:hAnsi="Trebuchet MS" w:cs="Arial"/>
          <w:i/>
          <w:sz w:val="24"/>
          <w:szCs w:val="24"/>
          <w:lang w:eastAsia="en-GB"/>
        </w:rPr>
        <w:t>)affect only the interior of the building, or</w:t>
      </w:r>
    </w:p>
    <w:p w:rsidR="000979A8" w:rsidRPr="000507E7" w:rsidRDefault="000979A8" w:rsidP="000979A8">
      <w:pPr>
        <w:shd w:val="clear" w:color="auto" w:fill="FFFFFF"/>
        <w:spacing w:after="120" w:line="360" w:lineRule="atLeast"/>
        <w:rPr>
          <w:rFonts w:ascii="Trebuchet MS" w:eastAsiaTheme="minorEastAsia" w:hAnsi="Trebuchet MS" w:cs="Arial"/>
          <w:i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Arial"/>
          <w:i/>
          <w:sz w:val="24"/>
          <w:szCs w:val="24"/>
          <w:lang w:eastAsia="en-GB"/>
        </w:rPr>
        <w:t>(ii)do not materially affect the external appearance of the building,</w:t>
      </w:r>
    </w:p>
    <w:p w:rsidR="000979A8" w:rsidRPr="000979A8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FF0000"/>
          <w:sz w:val="24"/>
          <w:szCs w:val="24"/>
          <w:lang w:eastAsia="en-GB"/>
        </w:rPr>
      </w:pP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Therefore, in order to qualify as permitted Development, replacement materials must be similar that they do not materially affect the external appearance of the building. 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9F527D" w:rsidRDefault="000507E7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Details of materials to be used have been provided and it is confirmed that there would not be a material change in the external appearance of the building. The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main cladding material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would be </w:t>
      </w:r>
      <w:r w:rsidR="009F527D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brick </w:t>
      </w:r>
      <w:r w:rsidR="00AA3F6B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slip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with a </w:t>
      </w:r>
      <w:r w:rsidR="00F36F86"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>basket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="00F36F86"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weave pattern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and colour </w:t>
      </w:r>
      <w:r w:rsidR="00F36F86"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>to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match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the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existing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. 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Although the proposed recladding would </w:t>
      </w:r>
      <w:r w:rsidR="009F527D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include minor differences in the detailing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, </w:t>
      </w:r>
      <w:r w:rsidR="009F527D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the overall external appearance </w:t>
      </w:r>
      <w:r w:rsidR="00773423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of the building </w:t>
      </w:r>
      <w:r w:rsidR="009F527D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would not be materially affected. The changes would include </w:t>
      </w:r>
      <w:r w:rsidR="00F36F86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the following:</w:t>
      </w:r>
    </w:p>
    <w:p w:rsidR="009F527D" w:rsidRPr="009F527D" w:rsidRDefault="009F527D" w:rsidP="009F527D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9F527D" w:rsidRPr="00773423" w:rsidRDefault="009F527D" w:rsidP="00F36F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Non-combustible sheathing and insulation included between the existing façade and cladding system increasing its depth by 50mm (see drawing 3452-P300-A). </w:t>
      </w:r>
    </w:p>
    <w:p w:rsidR="009F527D" w:rsidRPr="00773423" w:rsidRDefault="009F527D" w:rsidP="00F36F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Movement joints are incorporated between the cladding panels. </w:t>
      </w:r>
    </w:p>
    <w:p w:rsidR="009F527D" w:rsidRPr="00773423" w:rsidRDefault="009F527D" w:rsidP="00F36F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A vertical stack bonded pier with a movement joint to each side is incorporated between each first-floor window to both elevations. </w:t>
      </w:r>
    </w:p>
    <w:p w:rsidR="009F527D" w:rsidRPr="00773423" w:rsidRDefault="00F36F86" w:rsidP="00F36F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lastRenderedPageBreak/>
        <w:t xml:space="preserve">A </w:t>
      </w:r>
      <w:r w:rsidR="009F527D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shadow gap detail between the new cladding and the adjoining building at 80 Broad Street (above shopfront level), with the cladding system set a further 50mm forward of that elevation (see drawing 3453-P503-A). </w:t>
      </w:r>
    </w:p>
    <w:p w:rsidR="009F527D" w:rsidRPr="00773423" w:rsidRDefault="009F527D" w:rsidP="00F36F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The detailing on the corners of the angled elevation of St Mary’s House would be amended so that the cladding slightly </w:t>
      </w:r>
      <w:proofErr w:type="spellStart"/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oversails</w:t>
      </w:r>
      <w:proofErr w:type="spellEnd"/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to allow use of a </w:t>
      </w:r>
      <w:r w:rsidR="00773423"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>90-degree</w:t>
      </w:r>
      <w:r w:rsidRPr="0077342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corner tile and movement joint (see drawing 3453-P211-A). </w:t>
      </w:r>
    </w:p>
    <w:p w:rsidR="009F527D" w:rsidRPr="009F527D" w:rsidRDefault="009F527D" w:rsidP="009F527D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F36F86" w:rsidRDefault="00F36F86" w:rsidP="00F36F86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In view of the above and </w:t>
      </w:r>
      <w:r w:rsidR="000979A8"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despite </w:t>
      </w:r>
      <w:r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>a few detailing differences</w:t>
      </w:r>
      <w:r w:rsidR="000979A8"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>,</w:t>
      </w:r>
      <w:r w:rsidRPr="00F36F86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the proposal is considered unlikely to have a detrimental impact on the external appearance of the building.</w:t>
      </w:r>
    </w:p>
    <w:p w:rsidR="000979A8" w:rsidRPr="000979A8" w:rsidRDefault="000979A8" w:rsidP="000979A8">
      <w:pPr>
        <w:spacing w:after="0" w:line="240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en-GB"/>
        </w:rPr>
      </w:pP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Recommendation</w:t>
      </w: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0979A8" w:rsidRPr="000507E7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The proposal has been assessed against Section 55 of the Town and Country Planning Act (1990) it can be confirmed that the proposed operations would be lawful for planning purposes </w:t>
      </w:r>
      <w:proofErr w:type="gramStart"/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>on the basis of</w:t>
      </w:r>
      <w:proofErr w:type="gramEnd"/>
      <w:r w:rsidRPr="000507E7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the following drawings/ documents: 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EF023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Drawing</w:t>
      </w:r>
      <w:r w:rsidR="00EF0233" w:rsidRPr="00EF0233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s/documents submitted</w:t>
      </w:r>
      <w:r w:rsidRPr="00EF0233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:</w:t>
      </w:r>
    </w:p>
    <w:p w:rsidR="00EF0233" w:rsidRPr="00EF0233" w:rsidRDefault="00EF0233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P201 – Proposed Elevation 1 &amp; 2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E202 – Proposed Elevation 3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Drawing No: P211 – Elevation 2 Brick Return Concept 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P207 – Proposed Tiling Layout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Drawing No: P503 – Building Abutment Detail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Planning Statement ISSUE 3 (8) 28</w:t>
      </w:r>
      <w:r w:rsidRPr="00EF0233">
        <w:rPr>
          <w:rFonts w:ascii="Trebuchet MS" w:eastAsiaTheme="minorEastAsia" w:hAnsi="Trebuchet MS" w:cs="Times New Roman"/>
          <w:sz w:val="24"/>
          <w:szCs w:val="24"/>
          <w:vertAlign w:val="superscript"/>
          <w:lang w:eastAsia="en-GB"/>
        </w:rPr>
        <w:t>th</w:t>
      </w: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June 2021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Application letter dated 12 July 2021</w:t>
      </w: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EF0233" w:rsidRPr="00EF0233" w:rsidRDefault="00EF0233" w:rsidP="00EF0233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Received 12</w:t>
      </w:r>
      <w:r w:rsidRPr="00EF0233">
        <w:rPr>
          <w:rFonts w:ascii="Trebuchet MS" w:eastAsiaTheme="minorEastAsia" w:hAnsi="Trebuchet MS" w:cs="Times New Roman"/>
          <w:sz w:val="24"/>
          <w:szCs w:val="24"/>
          <w:vertAlign w:val="superscript"/>
          <w:lang w:eastAsia="en-GB"/>
        </w:rPr>
        <w:t>th</w:t>
      </w: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 xml:space="preserve"> July 2021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EF0233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eastAsia="en-GB"/>
        </w:rPr>
      </w:pPr>
      <w:proofErr w:type="gramStart"/>
      <w:r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>Sufficient</w:t>
      </w:r>
      <w:proofErr w:type="gramEnd"/>
      <w:r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 xml:space="preserve"> evidence has been provided to demonstrate that a Certificate of Lawfulness should be granted for the 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 xml:space="preserve">proposed recladding 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>of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 xml:space="preserve"> the building at 66</w:t>
      </w:r>
      <w:r w:rsidR="00EF0233" w:rsidRPr="00EF0233">
        <w:rPr>
          <w:rFonts w:ascii="Trebuchet MS" w:eastAsia="Times New Roman" w:hAnsi="Trebuchet MS" w:cs="Times New Roman"/>
          <w:bCs/>
          <w:sz w:val="24"/>
          <w:szCs w:val="24"/>
          <w:lang w:eastAsia="en-GB"/>
        </w:rPr>
        <w:t>-68 St Marys Butts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 xml:space="preserve"> 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 xml:space="preserve">- 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>Broad Street and St Mary's Butts elevation</w:t>
      </w:r>
      <w:r w:rsidR="00EF0233"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 xml:space="preserve"> and that </w:t>
      </w:r>
      <w:r w:rsidRPr="00EF0233">
        <w:rPr>
          <w:rFonts w:ascii="Trebuchet MS" w:eastAsia="Times New Roman" w:hAnsi="Trebuchet MS" w:cs="Times New Roman"/>
          <w:sz w:val="24"/>
          <w:szCs w:val="24"/>
          <w:lang w:eastAsia="en-GB"/>
        </w:rPr>
        <w:t>this would not require planning permission in line with Section 55(2) of the Town and Country Planning Act (1990)</w:t>
      </w:r>
    </w:p>
    <w:p w:rsidR="000979A8" w:rsidRPr="000979A8" w:rsidRDefault="000979A8" w:rsidP="000979A8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FF0000"/>
          <w:sz w:val="24"/>
          <w:szCs w:val="24"/>
          <w:lang w:eastAsia="en-GB"/>
        </w:rPr>
      </w:pPr>
    </w:p>
    <w:p w:rsidR="000979A8" w:rsidRPr="00EF023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i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Therefore, the Local Planning Authority can issue the applicant with a Certificate of Lawfulness for the proposal.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0979A8" w:rsidRPr="00EF023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proofErr w:type="spellStart"/>
      <w:r w:rsidRPr="00EF0233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t>Informatives</w:t>
      </w:r>
      <w:proofErr w:type="spellEnd"/>
    </w:p>
    <w:p w:rsidR="000979A8" w:rsidRPr="00EF023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</w:p>
    <w:p w:rsidR="000979A8" w:rsidRPr="00EF023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1. Terms</w:t>
      </w:r>
    </w:p>
    <w:p w:rsidR="000979A8" w:rsidRPr="00EF0233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sz w:val="24"/>
          <w:szCs w:val="24"/>
          <w:lang w:eastAsia="en-GB"/>
        </w:rPr>
      </w:pPr>
      <w:r w:rsidRPr="00EF0233">
        <w:rPr>
          <w:rFonts w:ascii="Trebuchet MS" w:eastAsiaTheme="minorEastAsia" w:hAnsi="Trebuchet MS" w:cs="Times New Roman"/>
          <w:sz w:val="24"/>
          <w:szCs w:val="24"/>
          <w:lang w:eastAsia="en-GB"/>
        </w:rPr>
        <w:t>2. Positive and Proactive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FE07FC" w:rsidRDefault="00FE07FC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FE07FC" w:rsidRDefault="00FE07FC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FE07FC" w:rsidRDefault="00FE07FC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FE07FC" w:rsidRDefault="00FE07FC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color w:val="FF0000"/>
          <w:sz w:val="24"/>
          <w:szCs w:val="24"/>
          <w:lang w:eastAsia="en-GB"/>
        </w:rPr>
      </w:pPr>
    </w:p>
    <w:p w:rsidR="000979A8" w:rsidRPr="00FE07FC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</w:pPr>
      <w:r w:rsidRPr="00FE07FC">
        <w:rPr>
          <w:rFonts w:ascii="Trebuchet MS" w:eastAsiaTheme="minorEastAsia" w:hAnsi="Trebuchet MS" w:cs="Times New Roman"/>
          <w:b/>
          <w:sz w:val="24"/>
          <w:szCs w:val="24"/>
          <w:lang w:eastAsia="en-GB"/>
        </w:rPr>
        <w:lastRenderedPageBreak/>
        <w:t xml:space="preserve">Location Plan (Not to scale) </w:t>
      </w:r>
    </w:p>
    <w:p w:rsidR="000979A8" w:rsidRPr="000979A8" w:rsidRDefault="000979A8" w:rsidP="000979A8">
      <w:pPr>
        <w:spacing w:after="0" w:line="240" w:lineRule="auto"/>
        <w:jc w:val="both"/>
        <w:rPr>
          <w:rFonts w:ascii="Trebuchet MS" w:eastAsiaTheme="minorEastAsia" w:hAnsi="Trebuchet MS" w:cs="Times New Roman"/>
          <w:color w:val="FF0000"/>
          <w:sz w:val="24"/>
          <w:szCs w:val="24"/>
          <w:lang w:eastAsia="en-GB"/>
        </w:rPr>
      </w:pPr>
    </w:p>
    <w:p w:rsidR="000979A8" w:rsidRPr="000979A8" w:rsidRDefault="00923FAE" w:rsidP="000979A8">
      <w:pPr>
        <w:spacing w:after="0" w:line="240" w:lineRule="auto"/>
        <w:jc w:val="both"/>
        <w:rPr>
          <w:rFonts w:eastAsiaTheme="minorEastAsia" w:cs="Times New Roman"/>
          <w:color w:val="FF0000"/>
          <w:sz w:val="24"/>
          <w:szCs w:val="24"/>
          <w:lang w:eastAsia="en-GB"/>
        </w:rPr>
      </w:pPr>
      <w:r w:rsidRPr="00923FAE">
        <w:rPr>
          <w:rFonts w:eastAsiaTheme="minorEastAsia" w:cs="Times New Roman"/>
          <w:color w:val="FF0000"/>
          <w:sz w:val="24"/>
          <w:szCs w:val="24"/>
          <w:lang w:eastAsia="en-GB"/>
        </w:rPr>
        <w:drawing>
          <wp:inline distT="0" distB="0" distL="0" distR="0" wp14:anchorId="75B34CF0" wp14:editId="393965B4">
            <wp:extent cx="3664138" cy="33910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4138" cy="339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79A8" w:rsidRPr="000979A8" w:rsidRDefault="000979A8" w:rsidP="000979A8">
      <w:pPr>
        <w:spacing w:after="0" w:line="240" w:lineRule="auto"/>
        <w:jc w:val="both"/>
        <w:rPr>
          <w:rFonts w:eastAsiaTheme="minorEastAsia" w:cs="Times New Roman"/>
          <w:color w:val="FF0000"/>
          <w:lang w:eastAsia="en-GB"/>
        </w:rPr>
      </w:pPr>
    </w:p>
    <w:p w:rsidR="000979A8" w:rsidRPr="000979A8" w:rsidRDefault="000979A8" w:rsidP="000979A8">
      <w:pPr>
        <w:spacing w:after="200" w:line="276" w:lineRule="auto"/>
        <w:rPr>
          <w:rFonts w:eastAsiaTheme="minorEastAsia" w:cs="Times New Roman"/>
          <w:color w:val="FF0000"/>
          <w:lang w:eastAsia="en-GB"/>
        </w:rPr>
      </w:pPr>
    </w:p>
    <w:p w:rsidR="000979A8" w:rsidRPr="000979A8" w:rsidRDefault="000979A8" w:rsidP="000979A8">
      <w:pPr>
        <w:spacing w:after="200" w:line="276" w:lineRule="auto"/>
        <w:rPr>
          <w:rFonts w:eastAsiaTheme="minorEastAsia" w:cs="Times New Roman"/>
          <w:color w:val="FF0000"/>
          <w:lang w:eastAsia="en-GB"/>
        </w:rPr>
      </w:pPr>
    </w:p>
    <w:p w:rsidR="00BE28A7" w:rsidRPr="000979A8" w:rsidRDefault="00BE28A7">
      <w:pPr>
        <w:rPr>
          <w:color w:val="FF0000"/>
        </w:rPr>
      </w:pPr>
    </w:p>
    <w:sectPr w:rsidR="00BE28A7" w:rsidRPr="000979A8" w:rsidSect="00365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C66A1"/>
    <w:multiLevelType w:val="hybridMultilevel"/>
    <w:tmpl w:val="D414B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A8"/>
    <w:rsid w:val="000507E7"/>
    <w:rsid w:val="000979A8"/>
    <w:rsid w:val="00365BFD"/>
    <w:rsid w:val="003A3239"/>
    <w:rsid w:val="00461BC7"/>
    <w:rsid w:val="00620118"/>
    <w:rsid w:val="00737883"/>
    <w:rsid w:val="007466C6"/>
    <w:rsid w:val="00773423"/>
    <w:rsid w:val="007A26E2"/>
    <w:rsid w:val="008E34F1"/>
    <w:rsid w:val="00923FAE"/>
    <w:rsid w:val="009F527D"/>
    <w:rsid w:val="00A939A8"/>
    <w:rsid w:val="00AA3F6B"/>
    <w:rsid w:val="00BE28A7"/>
    <w:rsid w:val="00C67FC4"/>
    <w:rsid w:val="00D556E0"/>
    <w:rsid w:val="00E15CBA"/>
    <w:rsid w:val="00EB5530"/>
    <w:rsid w:val="00EF0233"/>
    <w:rsid w:val="00F054FA"/>
    <w:rsid w:val="00F36F86"/>
    <w:rsid w:val="00F967AF"/>
    <w:rsid w:val="00F97B25"/>
    <w:rsid w:val="00FD3F6D"/>
    <w:rsid w:val="00FE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067D"/>
  <w15:chartTrackingRefBased/>
  <w15:docId w15:val="{9560E0DF-4724-46DB-81DD-0EBB11C4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9A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6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Malama, Beatrice</dc:creator>
  <cp:keywords/>
  <dc:description/>
  <cp:lastModifiedBy>Malama, Beatrice</cp:lastModifiedBy>
  <cp:revision>11</cp:revision>
  <dcterms:created xsi:type="dcterms:W3CDTF">2021-09-10T13:22:00Z</dcterms:created>
  <dcterms:modified xsi:type="dcterms:W3CDTF">2021-09-20T13:31:00Z</dcterms:modified>
</cp:coreProperties>
</file>