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504" w:rsidRPr="007625B4" w:rsidRDefault="00625504" w:rsidP="007625B4">
      <w:pPr>
        <w:spacing w:after="0" w:line="240" w:lineRule="auto"/>
        <w:rPr>
          <w:rFonts w:ascii="Trebuchet MS" w:hAnsi="Trebuchet MS"/>
          <w:sz w:val="24"/>
          <w:szCs w:val="24"/>
        </w:rPr>
      </w:pPr>
      <w:r w:rsidRPr="007625B4">
        <w:rPr>
          <w:rFonts w:ascii="Trebuchet MS" w:hAnsi="Trebuchet MS"/>
          <w:b/>
          <w:sz w:val="24"/>
          <w:szCs w:val="24"/>
        </w:rPr>
        <w:t>Target Date:</w:t>
      </w:r>
      <w:r w:rsidRPr="007625B4">
        <w:rPr>
          <w:rFonts w:ascii="Trebuchet MS" w:hAnsi="Trebuchet MS"/>
          <w:sz w:val="24"/>
          <w:szCs w:val="24"/>
        </w:rPr>
        <w:t xml:space="preserve"> </w:t>
      </w:r>
      <w:r w:rsidR="00364470" w:rsidRPr="007625B4">
        <w:rPr>
          <w:rFonts w:ascii="Trebuchet MS" w:hAnsi="Trebuchet MS"/>
          <w:sz w:val="24"/>
          <w:szCs w:val="24"/>
        </w:rPr>
        <w:tab/>
      </w:r>
      <w:r w:rsidR="00B831C3">
        <w:rPr>
          <w:rFonts w:ascii="Trebuchet MS" w:hAnsi="Trebuchet MS"/>
          <w:sz w:val="24"/>
          <w:szCs w:val="24"/>
        </w:rPr>
        <w:t>9</w:t>
      </w:r>
      <w:r w:rsidR="00B831C3" w:rsidRPr="00B831C3">
        <w:rPr>
          <w:rFonts w:ascii="Trebuchet MS" w:hAnsi="Trebuchet MS"/>
          <w:sz w:val="24"/>
          <w:szCs w:val="24"/>
          <w:vertAlign w:val="superscript"/>
        </w:rPr>
        <w:t>th</w:t>
      </w:r>
      <w:r w:rsidR="00B831C3">
        <w:rPr>
          <w:rFonts w:ascii="Trebuchet MS" w:hAnsi="Trebuchet MS"/>
          <w:sz w:val="24"/>
          <w:szCs w:val="24"/>
        </w:rPr>
        <w:t xml:space="preserve"> of February 2021</w:t>
      </w:r>
    </w:p>
    <w:p w:rsidR="00625504" w:rsidRPr="007625B4" w:rsidRDefault="00625504" w:rsidP="007625B4">
      <w:pPr>
        <w:spacing w:after="0" w:line="240" w:lineRule="auto"/>
        <w:rPr>
          <w:rFonts w:ascii="Trebuchet MS" w:hAnsi="Trebuchet MS"/>
          <w:sz w:val="24"/>
          <w:szCs w:val="24"/>
        </w:rPr>
      </w:pPr>
      <w:r w:rsidRPr="007625B4">
        <w:rPr>
          <w:rFonts w:ascii="Trebuchet MS" w:hAnsi="Trebuchet MS"/>
          <w:b/>
          <w:sz w:val="24"/>
          <w:szCs w:val="24"/>
        </w:rPr>
        <w:t xml:space="preserve">Address: </w:t>
      </w:r>
      <w:r w:rsidR="00364470" w:rsidRPr="007625B4">
        <w:rPr>
          <w:rFonts w:ascii="Trebuchet MS" w:hAnsi="Trebuchet MS"/>
          <w:b/>
          <w:sz w:val="24"/>
          <w:szCs w:val="24"/>
        </w:rPr>
        <w:tab/>
      </w:r>
      <w:r w:rsidR="00364470" w:rsidRPr="007625B4">
        <w:rPr>
          <w:rFonts w:ascii="Trebuchet MS" w:hAnsi="Trebuchet MS"/>
          <w:b/>
          <w:sz w:val="24"/>
          <w:szCs w:val="24"/>
        </w:rPr>
        <w:tab/>
      </w:r>
      <w:r w:rsidR="00B831C3">
        <w:rPr>
          <w:rFonts w:ascii="Trebuchet MS" w:hAnsi="Trebuchet MS" w:cs="Trebuchet MS"/>
          <w:bCs/>
        </w:rPr>
        <w:t>19 Rufus Isaacs Road, Caversham, Reading, RG4 6DD</w:t>
      </w:r>
    </w:p>
    <w:p w:rsidR="00625504" w:rsidRPr="007625B4" w:rsidRDefault="00625504" w:rsidP="007625B4">
      <w:pPr>
        <w:spacing w:after="0" w:line="240" w:lineRule="auto"/>
        <w:rPr>
          <w:rFonts w:ascii="Trebuchet MS" w:hAnsi="Trebuchet MS"/>
          <w:sz w:val="24"/>
          <w:szCs w:val="24"/>
        </w:rPr>
      </w:pPr>
      <w:r w:rsidRPr="007625B4">
        <w:rPr>
          <w:rFonts w:ascii="Trebuchet MS" w:hAnsi="Trebuchet MS"/>
          <w:b/>
          <w:sz w:val="24"/>
          <w:szCs w:val="24"/>
        </w:rPr>
        <w:t xml:space="preserve">Application No: </w:t>
      </w:r>
      <w:r w:rsidR="00364470" w:rsidRPr="007625B4">
        <w:rPr>
          <w:rFonts w:ascii="Trebuchet MS" w:hAnsi="Trebuchet MS"/>
          <w:b/>
          <w:sz w:val="24"/>
          <w:szCs w:val="24"/>
        </w:rPr>
        <w:tab/>
      </w:r>
      <w:r w:rsidR="00B831C3">
        <w:rPr>
          <w:rFonts w:ascii="Trebuchet MS" w:hAnsi="Trebuchet MS" w:cs="Trebuchet MS"/>
          <w:lang w:val="en-US"/>
        </w:rPr>
        <w:t>201811</w:t>
      </w:r>
    </w:p>
    <w:p w:rsidR="00364470" w:rsidRPr="007625B4" w:rsidRDefault="00364470" w:rsidP="007625B4">
      <w:pPr>
        <w:spacing w:after="0" w:line="240" w:lineRule="auto"/>
        <w:rPr>
          <w:rFonts w:ascii="Trebuchet MS" w:hAnsi="Trebuchet MS"/>
          <w:sz w:val="24"/>
          <w:szCs w:val="24"/>
        </w:rPr>
      </w:pPr>
      <w:r w:rsidRPr="007625B4">
        <w:rPr>
          <w:rFonts w:ascii="Trebuchet MS" w:hAnsi="Trebuchet MS"/>
          <w:b/>
          <w:sz w:val="24"/>
          <w:szCs w:val="24"/>
        </w:rPr>
        <w:t>Case Officer:</w:t>
      </w:r>
      <w:r w:rsidRPr="007625B4">
        <w:rPr>
          <w:rFonts w:ascii="Trebuchet MS" w:hAnsi="Trebuchet MS"/>
          <w:sz w:val="24"/>
          <w:szCs w:val="24"/>
        </w:rPr>
        <w:t xml:space="preserve"> </w:t>
      </w:r>
      <w:r w:rsidRPr="007625B4">
        <w:rPr>
          <w:rFonts w:ascii="Trebuchet MS" w:hAnsi="Trebuchet MS"/>
          <w:sz w:val="24"/>
          <w:szCs w:val="24"/>
        </w:rPr>
        <w:tab/>
        <w:t>James Schofield</w:t>
      </w:r>
    </w:p>
    <w:p w:rsidR="00B831C3" w:rsidRPr="00B068F5" w:rsidRDefault="00625504" w:rsidP="00B831C3">
      <w:pPr>
        <w:pStyle w:val="Normal28"/>
        <w:rPr>
          <w:rFonts w:ascii="Trebuchet MS" w:hAnsi="Trebuchet MS" w:cs="Trebuchet MS"/>
          <w:sz w:val="22"/>
          <w:szCs w:val="22"/>
        </w:rPr>
      </w:pPr>
      <w:r w:rsidRPr="007625B4">
        <w:rPr>
          <w:rFonts w:ascii="Trebuchet MS" w:hAnsi="Trebuchet MS"/>
          <w:b/>
          <w:sz w:val="24"/>
          <w:szCs w:val="24"/>
        </w:rPr>
        <w:t xml:space="preserve">Proposal: </w:t>
      </w:r>
      <w:r w:rsidR="00364470" w:rsidRPr="007625B4">
        <w:rPr>
          <w:rFonts w:ascii="Trebuchet MS" w:hAnsi="Trebuchet MS"/>
          <w:b/>
          <w:sz w:val="24"/>
          <w:szCs w:val="24"/>
        </w:rPr>
        <w:tab/>
      </w:r>
      <w:r w:rsidR="00B831C3">
        <w:rPr>
          <w:rFonts w:ascii="Trebuchet MS" w:hAnsi="Trebuchet MS"/>
          <w:b/>
          <w:sz w:val="24"/>
          <w:szCs w:val="24"/>
        </w:rPr>
        <w:tab/>
      </w:r>
      <w:r w:rsidR="00B831C3" w:rsidRPr="00B068F5">
        <w:rPr>
          <w:rFonts w:ascii="Trebuchet MS" w:hAnsi="Trebuchet MS" w:cs="Trebuchet MS"/>
          <w:sz w:val="22"/>
          <w:szCs w:val="22"/>
        </w:rPr>
        <w:t>Single-storey side extension to an existing detached house to create</w:t>
      </w:r>
    </w:p>
    <w:p w:rsidR="007625B4" w:rsidRDefault="00B831C3" w:rsidP="00B831C3">
      <w:pPr>
        <w:pStyle w:val="Normal28"/>
        <w:ind w:left="1440" w:firstLine="720"/>
        <w:rPr>
          <w:rFonts w:ascii="Trebuchet MS" w:hAnsi="Trebuchet MS" w:cs="Trebuchet MS"/>
          <w:sz w:val="22"/>
          <w:szCs w:val="22"/>
        </w:rPr>
      </w:pPr>
      <w:r w:rsidRPr="00B068F5">
        <w:rPr>
          <w:rFonts w:ascii="Trebuchet MS" w:hAnsi="Trebuchet MS" w:cs="Trebuchet MS"/>
          <w:sz w:val="22"/>
          <w:szCs w:val="22"/>
        </w:rPr>
        <w:t>a Utility room accessed from the Kitchen.</w:t>
      </w:r>
    </w:p>
    <w:p w:rsidR="00B831C3" w:rsidRPr="00B831C3" w:rsidRDefault="00B831C3" w:rsidP="00B831C3">
      <w:pPr>
        <w:pStyle w:val="Normal28"/>
        <w:ind w:left="1440" w:firstLine="720"/>
        <w:rPr>
          <w:rFonts w:ascii="Trebuchet MS" w:hAnsi="Trebuchet MS" w:cs="Trebuchet MS"/>
          <w:sz w:val="22"/>
          <w:szCs w:val="22"/>
        </w:rPr>
      </w:pPr>
    </w:p>
    <w:p w:rsidR="00625504" w:rsidRPr="000E672B" w:rsidRDefault="00625504" w:rsidP="00364470">
      <w:pPr>
        <w:spacing w:line="240" w:lineRule="auto"/>
        <w:jc w:val="center"/>
        <w:rPr>
          <w:rFonts w:ascii="Trebuchet MS" w:hAnsi="Trebuchet MS"/>
          <w:b/>
          <w:sz w:val="28"/>
          <w:szCs w:val="24"/>
          <w:u w:val="single"/>
        </w:rPr>
      </w:pPr>
      <w:r w:rsidRPr="000E672B">
        <w:rPr>
          <w:rFonts w:ascii="Trebuchet MS" w:hAnsi="Trebuchet MS"/>
          <w:b/>
          <w:sz w:val="28"/>
          <w:szCs w:val="24"/>
          <w:u w:val="single"/>
        </w:rPr>
        <w:t>Introduction and Proposal</w:t>
      </w:r>
    </w:p>
    <w:p w:rsidR="00625504" w:rsidRPr="000E672B" w:rsidRDefault="00625504" w:rsidP="00EE5DDF">
      <w:pPr>
        <w:spacing w:line="240" w:lineRule="auto"/>
        <w:rPr>
          <w:rFonts w:ascii="Trebuchet MS" w:hAnsi="Trebuchet MS"/>
          <w:b/>
          <w:sz w:val="28"/>
          <w:szCs w:val="24"/>
        </w:rPr>
      </w:pPr>
      <w:r w:rsidRPr="000E672B">
        <w:rPr>
          <w:rFonts w:ascii="Trebuchet MS" w:hAnsi="Trebuchet MS"/>
          <w:b/>
          <w:sz w:val="28"/>
          <w:szCs w:val="24"/>
        </w:rPr>
        <w:t>Plans Submitted</w:t>
      </w:r>
    </w:p>
    <w:p w:rsidR="00EE5DDF" w:rsidRDefault="00625504" w:rsidP="007625B4">
      <w:pPr>
        <w:spacing w:line="240" w:lineRule="auto"/>
        <w:rPr>
          <w:rFonts w:ascii="Trebuchet MS" w:hAnsi="Trebuchet MS"/>
          <w:sz w:val="24"/>
          <w:szCs w:val="24"/>
        </w:rPr>
      </w:pPr>
      <w:r w:rsidRPr="00AF3FE4">
        <w:rPr>
          <w:rFonts w:ascii="Trebuchet MS" w:hAnsi="Trebuchet MS"/>
          <w:sz w:val="24"/>
          <w:szCs w:val="24"/>
        </w:rPr>
        <w:t xml:space="preserve">The </w:t>
      </w:r>
      <w:r w:rsidR="00EE5DDF">
        <w:rPr>
          <w:rFonts w:ascii="Trebuchet MS" w:hAnsi="Trebuchet MS"/>
          <w:sz w:val="24"/>
          <w:szCs w:val="24"/>
        </w:rPr>
        <w:t>applicant</w:t>
      </w:r>
      <w:r w:rsidR="00D330DE">
        <w:rPr>
          <w:rFonts w:ascii="Trebuchet MS" w:hAnsi="Trebuchet MS"/>
          <w:sz w:val="24"/>
          <w:szCs w:val="24"/>
        </w:rPr>
        <w:t xml:space="preserve"> supplied the following</w:t>
      </w:r>
      <w:r w:rsidR="00EE5DDF">
        <w:rPr>
          <w:rFonts w:ascii="Trebuchet MS" w:hAnsi="Trebuchet MS"/>
          <w:sz w:val="24"/>
          <w:szCs w:val="24"/>
        </w:rPr>
        <w:t>;</w:t>
      </w:r>
    </w:p>
    <w:p w:rsidR="00EE5DDF" w:rsidRPr="00EE5DDF" w:rsidRDefault="00EE5DDF" w:rsidP="00235647">
      <w:pPr>
        <w:pStyle w:val="BodyText"/>
        <w:ind w:left="720"/>
        <w:jc w:val="both"/>
        <w:rPr>
          <w:rFonts w:ascii="Trebuchet MS" w:hAnsi="Trebuchet MS"/>
          <w:b w:val="0"/>
          <w:bCs/>
          <w:szCs w:val="24"/>
        </w:rPr>
      </w:pPr>
      <w:r w:rsidRPr="00EE5DDF">
        <w:rPr>
          <w:rFonts w:ascii="Trebuchet MS" w:hAnsi="Trebuchet MS"/>
          <w:b w:val="0"/>
          <w:bCs/>
          <w:szCs w:val="24"/>
        </w:rPr>
        <w:t xml:space="preserve">Dwg No: </w:t>
      </w:r>
      <w:r w:rsidR="007625B4">
        <w:rPr>
          <w:rFonts w:ascii="Trebuchet MS" w:hAnsi="Trebuchet MS"/>
          <w:b w:val="0"/>
          <w:bCs/>
          <w:szCs w:val="24"/>
        </w:rPr>
        <w:t>B</w:t>
      </w:r>
      <w:r w:rsidR="00B831C3">
        <w:rPr>
          <w:rFonts w:ascii="Trebuchet MS" w:hAnsi="Trebuchet MS"/>
          <w:b w:val="0"/>
          <w:bCs/>
          <w:szCs w:val="24"/>
        </w:rPr>
        <w:t>RIDGE</w:t>
      </w:r>
      <w:r w:rsidR="007625B4">
        <w:rPr>
          <w:rFonts w:ascii="Trebuchet MS" w:hAnsi="Trebuchet MS"/>
          <w:b w:val="0"/>
          <w:bCs/>
          <w:szCs w:val="24"/>
        </w:rPr>
        <w:t>-1</w:t>
      </w:r>
      <w:r w:rsidR="00B831C3">
        <w:rPr>
          <w:rFonts w:ascii="Trebuchet MS" w:hAnsi="Trebuchet MS"/>
          <w:b w:val="0"/>
          <w:bCs/>
          <w:szCs w:val="24"/>
        </w:rPr>
        <w:t>2</w:t>
      </w:r>
      <w:r w:rsidR="007625B4">
        <w:rPr>
          <w:rFonts w:ascii="Trebuchet MS" w:hAnsi="Trebuchet MS"/>
          <w:b w:val="0"/>
          <w:bCs/>
          <w:szCs w:val="24"/>
        </w:rPr>
        <w:t>20-01</w:t>
      </w:r>
      <w:r w:rsidRPr="00EE5DDF">
        <w:rPr>
          <w:rFonts w:ascii="Trebuchet MS" w:hAnsi="Trebuchet MS"/>
          <w:b w:val="0"/>
          <w:bCs/>
          <w:szCs w:val="24"/>
        </w:rPr>
        <w:t xml:space="preserve"> </w:t>
      </w:r>
      <w:r w:rsidR="007625B4">
        <w:rPr>
          <w:rFonts w:ascii="Trebuchet MS" w:hAnsi="Trebuchet MS"/>
          <w:b w:val="0"/>
          <w:bCs/>
          <w:szCs w:val="24"/>
        </w:rPr>
        <w:t xml:space="preserve">Proposed </w:t>
      </w:r>
      <w:r w:rsidR="00B831C3">
        <w:rPr>
          <w:rFonts w:ascii="Trebuchet MS" w:hAnsi="Trebuchet MS"/>
          <w:b w:val="0"/>
          <w:bCs/>
          <w:szCs w:val="24"/>
        </w:rPr>
        <w:t>Ground</w:t>
      </w:r>
      <w:r w:rsidR="007625B4">
        <w:rPr>
          <w:rFonts w:ascii="Trebuchet MS" w:hAnsi="Trebuchet MS"/>
          <w:b w:val="0"/>
          <w:bCs/>
          <w:szCs w:val="24"/>
        </w:rPr>
        <w:t xml:space="preserve"> Floor Plan</w:t>
      </w:r>
    </w:p>
    <w:p w:rsidR="00B831C3" w:rsidRDefault="00B831C3" w:rsidP="00235647">
      <w:pPr>
        <w:pStyle w:val="BodyText"/>
        <w:ind w:left="720"/>
        <w:jc w:val="both"/>
        <w:rPr>
          <w:rFonts w:ascii="Trebuchet MS" w:hAnsi="Trebuchet MS"/>
          <w:b w:val="0"/>
          <w:bCs/>
          <w:szCs w:val="24"/>
        </w:rPr>
      </w:pPr>
      <w:r w:rsidRPr="00EE5DDF">
        <w:rPr>
          <w:rFonts w:ascii="Trebuchet MS" w:hAnsi="Trebuchet MS"/>
          <w:b w:val="0"/>
          <w:bCs/>
          <w:szCs w:val="24"/>
        </w:rPr>
        <w:t xml:space="preserve">Dwg No: </w:t>
      </w:r>
      <w:r>
        <w:rPr>
          <w:rFonts w:ascii="Trebuchet MS" w:hAnsi="Trebuchet MS"/>
          <w:b w:val="0"/>
          <w:bCs/>
          <w:szCs w:val="24"/>
        </w:rPr>
        <w:t>BRIDGE-1220-02 Proposed Elevations</w:t>
      </w:r>
    </w:p>
    <w:p w:rsidR="00B831C3" w:rsidRDefault="00B831C3" w:rsidP="00235647">
      <w:pPr>
        <w:pStyle w:val="BodyText"/>
        <w:ind w:left="720"/>
        <w:jc w:val="both"/>
        <w:rPr>
          <w:rFonts w:ascii="Trebuchet MS" w:hAnsi="Trebuchet MS"/>
          <w:b w:val="0"/>
          <w:bCs/>
          <w:szCs w:val="24"/>
        </w:rPr>
      </w:pPr>
      <w:r w:rsidRPr="00EE5DDF">
        <w:rPr>
          <w:rFonts w:ascii="Trebuchet MS" w:hAnsi="Trebuchet MS"/>
          <w:b w:val="0"/>
          <w:bCs/>
          <w:szCs w:val="24"/>
        </w:rPr>
        <w:t xml:space="preserve">Dwg No: </w:t>
      </w:r>
      <w:r>
        <w:rPr>
          <w:rFonts w:ascii="Trebuchet MS" w:hAnsi="Trebuchet MS"/>
          <w:b w:val="0"/>
          <w:bCs/>
          <w:szCs w:val="24"/>
        </w:rPr>
        <w:t>BRIDGE-1220-03 Existing Plan &amp; Elevations</w:t>
      </w:r>
    </w:p>
    <w:p w:rsidR="00B831C3" w:rsidRDefault="00B831C3" w:rsidP="00235647">
      <w:pPr>
        <w:pStyle w:val="BodyText"/>
        <w:ind w:left="720"/>
        <w:jc w:val="both"/>
        <w:rPr>
          <w:rFonts w:ascii="Trebuchet MS" w:hAnsi="Trebuchet MS"/>
          <w:b w:val="0"/>
          <w:bCs/>
          <w:szCs w:val="24"/>
        </w:rPr>
      </w:pPr>
      <w:r w:rsidRPr="00EE5DDF">
        <w:rPr>
          <w:rFonts w:ascii="Trebuchet MS" w:hAnsi="Trebuchet MS"/>
          <w:b w:val="0"/>
          <w:bCs/>
          <w:szCs w:val="24"/>
        </w:rPr>
        <w:t xml:space="preserve">Dwg No: </w:t>
      </w:r>
      <w:r>
        <w:rPr>
          <w:rFonts w:ascii="Trebuchet MS" w:hAnsi="Trebuchet MS"/>
          <w:b w:val="0"/>
          <w:bCs/>
          <w:szCs w:val="24"/>
        </w:rPr>
        <w:t>BRIDGE-1220-04 Block &amp; Location Plans</w:t>
      </w:r>
    </w:p>
    <w:p w:rsidR="00B831C3" w:rsidRDefault="00B831C3" w:rsidP="00235647">
      <w:pPr>
        <w:pStyle w:val="BodyText"/>
        <w:ind w:left="720"/>
        <w:jc w:val="both"/>
        <w:rPr>
          <w:rFonts w:ascii="Trebuchet MS" w:hAnsi="Trebuchet MS"/>
          <w:b w:val="0"/>
          <w:bCs/>
          <w:szCs w:val="24"/>
        </w:rPr>
      </w:pPr>
      <w:r w:rsidRPr="00EE5DDF">
        <w:rPr>
          <w:rFonts w:ascii="Trebuchet MS" w:hAnsi="Trebuchet MS"/>
          <w:b w:val="0"/>
          <w:bCs/>
          <w:szCs w:val="24"/>
        </w:rPr>
        <w:t xml:space="preserve">Dwg No: </w:t>
      </w:r>
      <w:r>
        <w:rPr>
          <w:rFonts w:ascii="Trebuchet MS" w:hAnsi="Trebuchet MS"/>
          <w:b w:val="0"/>
          <w:bCs/>
          <w:szCs w:val="24"/>
        </w:rPr>
        <w:t>BRIDGE-1220-05 Section A-A</w:t>
      </w:r>
    </w:p>
    <w:p w:rsidR="007625B4" w:rsidRDefault="00EE5DDF" w:rsidP="00B831C3">
      <w:pPr>
        <w:pStyle w:val="BodyText"/>
        <w:ind w:left="720"/>
        <w:jc w:val="both"/>
        <w:rPr>
          <w:rFonts w:ascii="Trebuchet MS" w:hAnsi="Trebuchet MS"/>
          <w:b w:val="0"/>
          <w:bCs/>
          <w:szCs w:val="24"/>
        </w:rPr>
      </w:pPr>
      <w:r w:rsidRPr="00EE5DDF">
        <w:rPr>
          <w:rFonts w:ascii="Trebuchet MS" w:hAnsi="Trebuchet MS"/>
          <w:b w:val="0"/>
          <w:bCs/>
          <w:szCs w:val="24"/>
        </w:rPr>
        <w:t xml:space="preserve">As received </w:t>
      </w:r>
      <w:r w:rsidR="007625B4">
        <w:rPr>
          <w:rFonts w:ascii="Trebuchet MS" w:hAnsi="Trebuchet MS"/>
          <w:b w:val="0"/>
          <w:bCs/>
          <w:szCs w:val="24"/>
        </w:rPr>
        <w:t>1</w:t>
      </w:r>
      <w:r w:rsidR="00B831C3">
        <w:rPr>
          <w:rFonts w:ascii="Trebuchet MS" w:hAnsi="Trebuchet MS"/>
          <w:b w:val="0"/>
          <w:bCs/>
          <w:szCs w:val="24"/>
        </w:rPr>
        <w:t>6</w:t>
      </w:r>
      <w:r w:rsidR="00B831C3">
        <w:rPr>
          <w:rFonts w:ascii="Trebuchet MS" w:hAnsi="Trebuchet MS"/>
          <w:b w:val="0"/>
          <w:bCs/>
          <w:szCs w:val="24"/>
          <w:vertAlign w:val="superscript"/>
        </w:rPr>
        <w:t>th</w:t>
      </w:r>
      <w:r w:rsidR="007625B4">
        <w:rPr>
          <w:rFonts w:ascii="Trebuchet MS" w:hAnsi="Trebuchet MS"/>
          <w:b w:val="0"/>
          <w:bCs/>
          <w:szCs w:val="24"/>
          <w:vertAlign w:val="superscript"/>
        </w:rPr>
        <w:t xml:space="preserve"> </w:t>
      </w:r>
      <w:r w:rsidR="007625B4">
        <w:rPr>
          <w:rFonts w:ascii="Trebuchet MS" w:hAnsi="Trebuchet MS"/>
          <w:b w:val="0"/>
          <w:bCs/>
          <w:szCs w:val="24"/>
        </w:rPr>
        <w:t>of December 2020</w:t>
      </w:r>
    </w:p>
    <w:p w:rsidR="00B831C3" w:rsidRPr="00B831C3" w:rsidRDefault="00B831C3" w:rsidP="00B831C3">
      <w:pPr>
        <w:pStyle w:val="BodyText"/>
        <w:ind w:left="720"/>
        <w:jc w:val="both"/>
        <w:rPr>
          <w:rFonts w:ascii="Trebuchet MS" w:hAnsi="Trebuchet MS"/>
          <w:b w:val="0"/>
          <w:bCs/>
          <w:szCs w:val="24"/>
        </w:rPr>
      </w:pP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Relevant Planning History</w:t>
      </w:r>
    </w:p>
    <w:p w:rsidR="000E672B" w:rsidRPr="007625B4" w:rsidRDefault="000E672B" w:rsidP="007625B4">
      <w:pPr>
        <w:spacing w:line="240" w:lineRule="auto"/>
        <w:ind w:left="720"/>
        <w:rPr>
          <w:rFonts w:ascii="Trebuchet MS" w:hAnsi="Trebuchet MS"/>
          <w:sz w:val="24"/>
          <w:szCs w:val="24"/>
        </w:rPr>
      </w:pPr>
      <w:r w:rsidRPr="00AF3FE4">
        <w:rPr>
          <w:rFonts w:ascii="Trebuchet MS" w:hAnsi="Trebuchet MS"/>
          <w:sz w:val="24"/>
          <w:szCs w:val="24"/>
        </w:rPr>
        <w:t xml:space="preserve">No </w:t>
      </w:r>
      <w:r>
        <w:rPr>
          <w:rFonts w:ascii="Trebuchet MS" w:hAnsi="Trebuchet MS"/>
          <w:sz w:val="24"/>
          <w:szCs w:val="24"/>
        </w:rPr>
        <w:t>relevant planning history</w:t>
      </w:r>
      <w:r w:rsidR="007625B4">
        <w:rPr>
          <w:rFonts w:ascii="Trebuchet MS" w:hAnsi="Trebuchet MS"/>
          <w:sz w:val="24"/>
          <w:szCs w:val="24"/>
        </w:rPr>
        <w:t>; PD rights intact.</w:t>
      </w: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Summary of Consultations</w:t>
      </w:r>
    </w:p>
    <w:p w:rsidR="00096948" w:rsidRPr="00AF3FE4" w:rsidRDefault="00625504" w:rsidP="007625B4">
      <w:pPr>
        <w:spacing w:line="240" w:lineRule="auto"/>
        <w:ind w:left="720"/>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Relevant Planning Policy and Guidance</w:t>
      </w:r>
    </w:p>
    <w:p w:rsidR="00625504" w:rsidRPr="00AF3FE4" w:rsidRDefault="0022790B" w:rsidP="00235647">
      <w:pPr>
        <w:spacing w:line="240" w:lineRule="auto"/>
        <w:ind w:left="720"/>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235647">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F34D43" w:rsidRDefault="00625504" w:rsidP="00F34D43">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w:t>
      </w:r>
    </w:p>
    <w:p w:rsidR="00F34D43" w:rsidRPr="000E672B" w:rsidRDefault="00F34D43" w:rsidP="00F34D43">
      <w:pPr>
        <w:spacing w:line="240" w:lineRule="auto"/>
        <w:jc w:val="center"/>
        <w:rPr>
          <w:rFonts w:ascii="Trebuchet MS" w:eastAsia="Times New Roman" w:hAnsi="Trebuchet MS"/>
          <w:b/>
          <w:color w:val="000000"/>
          <w:sz w:val="28"/>
          <w:szCs w:val="24"/>
          <w:u w:val="single"/>
        </w:rPr>
      </w:pPr>
      <w:r w:rsidRPr="000E672B">
        <w:rPr>
          <w:rFonts w:ascii="Trebuchet MS" w:eastAsia="Times New Roman" w:hAnsi="Trebuchet MS"/>
          <w:b/>
          <w:color w:val="000000"/>
          <w:sz w:val="28"/>
          <w:szCs w:val="24"/>
          <w:u w:val="single"/>
        </w:rPr>
        <w:t>Assessment</w:t>
      </w:r>
    </w:p>
    <w:p w:rsidR="00F34D43" w:rsidRPr="00AF3FE4" w:rsidRDefault="00F34D43" w:rsidP="00F34D43">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F34D43" w:rsidRPr="00AF3FE4" w:rsidRDefault="00F34D43" w:rsidP="00F34D43">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F34D43" w:rsidRDefault="00F34D43" w:rsidP="00F34D43">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Pr>
          <w:rFonts w:ascii="Trebuchet MS" w:eastAsia="Times New Roman" w:hAnsi="Trebuchet MS"/>
          <w:color w:val="000000"/>
          <w:sz w:val="24"/>
          <w:szCs w:val="24"/>
        </w:rPr>
        <w:t>nt conditions of the GPDO for a single storey rear extension</w:t>
      </w:r>
      <w:r w:rsidRPr="00AF3FE4">
        <w:rPr>
          <w:rFonts w:ascii="Trebuchet MS" w:eastAsia="Times New Roman" w:hAnsi="Trebuchet MS"/>
          <w:color w:val="000000"/>
          <w:sz w:val="24"/>
          <w:szCs w:val="24"/>
        </w:rPr>
        <w:t xml:space="preserve">, which is not listed or in a conservation area, are as follows: </w:t>
      </w:r>
    </w:p>
    <w:tbl>
      <w:tblPr>
        <w:tblStyle w:val="TableGrid"/>
        <w:tblW w:w="92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7459"/>
        <w:gridCol w:w="1250"/>
      </w:tblGrid>
      <w:tr w:rsidR="00F34D43" w:rsidTr="00647CAC">
        <w:tc>
          <w:tcPr>
            <w:tcW w:w="9242" w:type="dxa"/>
            <w:gridSpan w:val="3"/>
          </w:tcPr>
          <w:p w:rsidR="00F34D43"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Development is</w:t>
            </w:r>
            <w:r>
              <w:rPr>
                <w:rFonts w:ascii="Trebuchet MS" w:eastAsia="Times New Roman" w:hAnsi="Trebuchet MS"/>
                <w:color w:val="000000"/>
                <w:sz w:val="24"/>
                <w:szCs w:val="24"/>
              </w:rPr>
              <w:t xml:space="preserve"> not permitted by Class A if:  </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p>
        </w:tc>
        <w:tc>
          <w:tcPr>
            <w:tcW w:w="1229" w:type="dxa"/>
            <w:vAlign w:val="bottom"/>
          </w:tcPr>
          <w:p w:rsidR="00F34D43" w:rsidRDefault="00F34D43" w:rsidP="00647CAC">
            <w:pPr>
              <w:jc w:val="center"/>
              <w:rPr>
                <w:rFonts w:ascii="Trebuchet MS" w:eastAsia="Times New Roman" w:hAnsi="Trebuchet MS"/>
                <w:b/>
                <w:color w:val="000000"/>
                <w:sz w:val="24"/>
                <w:szCs w:val="24"/>
              </w:rPr>
            </w:pP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(a) permission to use the dwellinghouse as a dwellinghouse has been granted only by virtue of Class M, N, P or Q of Part 3 of this Schedule (changes of use);</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p>
        </w:tc>
        <w:tc>
          <w:tcPr>
            <w:tcW w:w="1229" w:type="dxa"/>
            <w:vAlign w:val="center"/>
          </w:tcPr>
          <w:p w:rsidR="00F34D43" w:rsidRDefault="00F34D43" w:rsidP="00647CAC">
            <w:pPr>
              <w:jc w:val="center"/>
              <w:rPr>
                <w:rFonts w:ascii="Trebuchet MS" w:eastAsia="Times New Roman" w:hAnsi="Trebuchet MS"/>
                <w:b/>
                <w:color w:val="000000"/>
                <w:sz w:val="24"/>
                <w:szCs w:val="24"/>
              </w:rPr>
            </w:pP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(b) as a result of the works, the total area of ground covered by buildings within the curtilage of the dwellinghouse (other than the original dwellinghouse) would exceed 50% of the total area of the curtilage (excluding the ground area of the original dwellinghouse);</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p>
        </w:tc>
        <w:tc>
          <w:tcPr>
            <w:tcW w:w="1229" w:type="dxa"/>
            <w:vAlign w:val="center"/>
          </w:tcPr>
          <w:p w:rsidR="00F34D43" w:rsidRDefault="00F34D43" w:rsidP="00647CAC">
            <w:pPr>
              <w:jc w:val="center"/>
              <w:rPr>
                <w:rFonts w:ascii="Trebuchet MS" w:eastAsia="Times New Roman" w:hAnsi="Trebuchet MS"/>
                <w:b/>
                <w:color w:val="000000"/>
                <w:sz w:val="24"/>
                <w:szCs w:val="24"/>
              </w:rPr>
            </w:pP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(c) the height of the part of the dwellinghouse enlarged, improved or altered would exceed the height of the highest part of the roof of the existing dwellinghouse;</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p>
        </w:tc>
        <w:tc>
          <w:tcPr>
            <w:tcW w:w="1229" w:type="dxa"/>
            <w:vAlign w:val="center"/>
          </w:tcPr>
          <w:p w:rsidR="00F34D43" w:rsidRDefault="00F34D43" w:rsidP="00647CAC">
            <w:pPr>
              <w:jc w:val="center"/>
              <w:rPr>
                <w:rFonts w:ascii="Trebuchet MS" w:eastAsia="Times New Roman" w:hAnsi="Trebuchet MS"/>
                <w:b/>
                <w:color w:val="000000"/>
                <w:sz w:val="24"/>
                <w:szCs w:val="24"/>
              </w:rPr>
            </w:pP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(d) the height of the eaves of the part of the dwellinghouse enlarged, improved or altered would exceed the height of the eaves of the existing dwellinghouse;</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p>
        </w:tc>
        <w:tc>
          <w:tcPr>
            <w:tcW w:w="1229" w:type="dxa"/>
            <w:vAlign w:val="center"/>
          </w:tcPr>
          <w:p w:rsidR="00F34D43" w:rsidRDefault="00F34D43" w:rsidP="00647CAC">
            <w:pPr>
              <w:jc w:val="center"/>
              <w:rPr>
                <w:rFonts w:ascii="Trebuchet MS" w:eastAsia="Times New Roman" w:hAnsi="Trebuchet MS"/>
                <w:b/>
                <w:color w:val="000000"/>
                <w:sz w:val="24"/>
                <w:szCs w:val="24"/>
              </w:rPr>
            </w:pP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(e) the enlarged part of the dwellinghouse would extend beyond a wall which (i) forms the principle elevation of the original dwellinghouse;</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or (ii) fronts a highway and forms a side elevation of the original dwellinghouse;</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p>
        </w:tc>
        <w:tc>
          <w:tcPr>
            <w:tcW w:w="1229" w:type="dxa"/>
            <w:vAlign w:val="center"/>
          </w:tcPr>
          <w:p w:rsidR="00F34D43" w:rsidRDefault="00F34D43" w:rsidP="00647CAC">
            <w:pPr>
              <w:jc w:val="center"/>
              <w:rPr>
                <w:rFonts w:ascii="Trebuchet MS" w:eastAsia="Times New Roman" w:hAnsi="Trebuchet MS"/>
                <w:b/>
                <w:color w:val="000000"/>
                <w:sz w:val="24"/>
                <w:szCs w:val="24"/>
              </w:rPr>
            </w:pP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A.1 (f) subject to paragraph (g), the enlarged part of the dwellinghouse would have a single storey and – (i) extend beyond the rear wall of the original dwellinghouse by more than 4 metres in the case of a detached dwellinghouse, or 3 metres in the case of any other dwellinghouse,</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Pr="00233128">
              <w:rPr>
                <w:rFonts w:ascii="Trebuchet MS" w:eastAsia="Times New Roman" w:hAnsi="Trebuchet MS"/>
                <w:b/>
                <w:color w:val="000000"/>
                <w:sz w:val="24"/>
                <w:szCs w:val="24"/>
              </w:rPr>
              <w:t>omplies</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r w:rsidRPr="00AF3FE4">
              <w:rPr>
                <w:rFonts w:ascii="Trebuchet MS" w:eastAsia="Times New Roman" w:hAnsi="Trebuchet MS"/>
                <w:color w:val="000000"/>
                <w:sz w:val="24"/>
                <w:szCs w:val="24"/>
              </w:rPr>
              <w:t>or (ii) exceed 4 metres in height;</w:t>
            </w:r>
          </w:p>
        </w:tc>
        <w:tc>
          <w:tcPr>
            <w:tcW w:w="1229" w:type="dxa"/>
            <w:vAlign w:val="bottom"/>
          </w:tcPr>
          <w:p w:rsidR="00F34D43" w:rsidRPr="00233128" w:rsidRDefault="00E65B71"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F34D43" w:rsidRPr="00233128">
              <w:rPr>
                <w:rFonts w:ascii="Trebuchet MS" w:eastAsia="Times New Roman" w:hAnsi="Trebuchet MS"/>
                <w:b/>
                <w:color w:val="000000"/>
                <w:sz w:val="24"/>
                <w:szCs w:val="24"/>
              </w:rPr>
              <w:t>omplies</w:t>
            </w:r>
            <w:r>
              <w:rPr>
                <w:rFonts w:ascii="Trebuchet MS" w:eastAsia="Times New Roman" w:hAnsi="Trebuchet MS"/>
                <w:b/>
                <w:color w:val="000000"/>
                <w:sz w:val="24"/>
                <w:szCs w:val="24"/>
              </w:rPr>
              <w:t xml:space="preserve"> (3.875m)</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AF3FE4" w:rsidRDefault="00F34D43" w:rsidP="00647CAC">
            <w:pPr>
              <w:rPr>
                <w:rFonts w:ascii="Trebuchet MS" w:eastAsia="Times New Roman" w:hAnsi="Trebuchet MS"/>
                <w:color w:val="000000"/>
                <w:sz w:val="24"/>
                <w:szCs w:val="24"/>
              </w:rPr>
            </w:pPr>
          </w:p>
        </w:tc>
        <w:tc>
          <w:tcPr>
            <w:tcW w:w="1229" w:type="dxa"/>
            <w:vAlign w:val="center"/>
          </w:tcPr>
          <w:p w:rsidR="00F34D43" w:rsidRDefault="00F34D43" w:rsidP="00647CAC">
            <w:pPr>
              <w:jc w:val="center"/>
              <w:rPr>
                <w:rFonts w:ascii="Trebuchet MS" w:eastAsia="Times New Roman" w:hAnsi="Trebuchet MS"/>
                <w:b/>
                <w:color w:val="000000"/>
                <w:sz w:val="24"/>
                <w:szCs w:val="24"/>
              </w:rPr>
            </w:pP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152C64" w:rsidRDefault="00F34D43" w:rsidP="00647CAC">
            <w:pPr>
              <w:rPr>
                <w:rFonts w:ascii="Trebuchet MS" w:eastAsia="Times New Roman" w:hAnsi="Trebuchet MS"/>
                <w:color w:val="000000"/>
                <w:sz w:val="24"/>
                <w:szCs w:val="24"/>
              </w:rPr>
            </w:pPr>
            <w:r w:rsidRPr="00152C64">
              <w:rPr>
                <w:rFonts w:ascii="Trebuchet MS" w:eastAsia="Times New Roman" w:hAnsi="Trebuchet MS"/>
                <w:color w:val="000000"/>
                <w:sz w:val="24"/>
                <w:szCs w:val="24"/>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152C64" w:rsidRDefault="00F34D43" w:rsidP="00647CAC">
            <w:pPr>
              <w:rPr>
                <w:rFonts w:ascii="Trebuchet MS" w:eastAsia="Times New Roman" w:hAnsi="Trebuchet MS"/>
                <w:color w:val="000000"/>
                <w:sz w:val="24"/>
                <w:szCs w:val="24"/>
              </w:rPr>
            </w:pPr>
            <w:r w:rsidRPr="00152C64">
              <w:rPr>
                <w:rFonts w:ascii="Trebuchet MS" w:eastAsia="Times New Roman" w:hAnsi="Trebuchet MS"/>
                <w:color w:val="000000"/>
                <w:sz w:val="24"/>
                <w:szCs w:val="24"/>
              </w:rPr>
              <w:t>or (ii) exceed 4 metres in height;</w:t>
            </w:r>
          </w:p>
        </w:tc>
        <w:tc>
          <w:tcPr>
            <w:tcW w:w="1229" w:type="dxa"/>
            <w:vAlign w:val="bottom"/>
          </w:tcPr>
          <w:p w:rsidR="00F34D43" w:rsidRPr="00233128" w:rsidRDefault="00F34D43"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152C64" w:rsidRDefault="00F34D43" w:rsidP="00647CAC">
            <w:pPr>
              <w:rPr>
                <w:rFonts w:ascii="Trebuchet MS" w:eastAsia="Times New Roman" w:hAnsi="Trebuchet MS"/>
                <w:b/>
                <w:color w:val="000000"/>
                <w:sz w:val="24"/>
                <w:szCs w:val="24"/>
              </w:rPr>
            </w:pPr>
          </w:p>
        </w:tc>
        <w:tc>
          <w:tcPr>
            <w:tcW w:w="1229" w:type="dxa"/>
            <w:vAlign w:val="center"/>
          </w:tcPr>
          <w:p w:rsidR="00F34D43" w:rsidRPr="00233128" w:rsidRDefault="00F34D43" w:rsidP="00647CAC">
            <w:pPr>
              <w:jc w:val="center"/>
              <w:rPr>
                <w:rFonts w:ascii="Trebuchet MS" w:eastAsia="Times New Roman" w:hAnsi="Trebuchet MS"/>
                <w:b/>
                <w:color w:val="000000"/>
                <w:sz w:val="24"/>
                <w:szCs w:val="24"/>
              </w:rPr>
            </w:pP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152C64" w:rsidRDefault="00F34D43" w:rsidP="00647CAC">
            <w:pPr>
              <w:rPr>
                <w:rFonts w:ascii="Trebuchet MS" w:eastAsia="Times New Roman" w:hAnsi="Trebuchet MS"/>
                <w:b/>
                <w:color w:val="000000"/>
                <w:sz w:val="24"/>
                <w:szCs w:val="24"/>
              </w:rPr>
            </w:pPr>
            <w:r w:rsidRPr="00152C64">
              <w:rPr>
                <w:rFonts w:ascii="Trebuchet MS" w:eastAsia="Times New Roman" w:hAnsi="Trebuchet MS"/>
                <w:color w:val="000000"/>
                <w:sz w:val="24"/>
                <w:szCs w:val="24"/>
              </w:rPr>
              <w:t>A.1 (h) the enlarged part of the dwellinghouse would have more than a single storey and – (i) extend beyond the rear wall of the original dwellinghouse by more than 3 metres,</w:t>
            </w:r>
          </w:p>
        </w:tc>
        <w:tc>
          <w:tcPr>
            <w:tcW w:w="1229" w:type="dxa"/>
            <w:vAlign w:val="bottom"/>
          </w:tcPr>
          <w:p w:rsidR="00F34D43" w:rsidRPr="00152C64" w:rsidRDefault="00F34D43" w:rsidP="00647CAC">
            <w:pPr>
              <w:jc w:val="center"/>
              <w:rPr>
                <w:rFonts w:ascii="Trebuchet MS" w:eastAsia="Times New Roman" w:hAnsi="Trebuchet MS"/>
                <w:b/>
                <w:color w:val="000000"/>
                <w:sz w:val="24"/>
                <w:szCs w:val="24"/>
              </w:rPr>
            </w:pPr>
            <w:r w:rsidRPr="00152C64">
              <w:rPr>
                <w:rFonts w:ascii="Trebuchet MS" w:eastAsia="Times New Roman" w:hAnsi="Trebuchet MS"/>
                <w:b/>
                <w:color w:val="000000"/>
                <w:sz w:val="24"/>
                <w:szCs w:val="24"/>
              </w:rPr>
              <w:t>complies</w:t>
            </w:r>
          </w:p>
        </w:tc>
      </w:tr>
      <w:tr w:rsidR="00F34D43" w:rsidRPr="00403890"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152C64" w:rsidRDefault="00F34D43" w:rsidP="00647CAC">
            <w:pPr>
              <w:rPr>
                <w:rFonts w:ascii="Trebuchet MS" w:eastAsia="Times New Roman" w:hAnsi="Trebuchet MS"/>
                <w:color w:val="000000"/>
                <w:sz w:val="24"/>
                <w:szCs w:val="24"/>
              </w:rPr>
            </w:pPr>
            <w:r w:rsidRPr="00152C64">
              <w:rPr>
                <w:rFonts w:ascii="Trebuchet MS" w:eastAsia="Times New Roman" w:hAnsi="Trebuchet MS"/>
                <w:color w:val="000000"/>
                <w:sz w:val="24"/>
                <w:szCs w:val="24"/>
              </w:rPr>
              <w:t>or (ii) be within 7 metres of any boundary of the curtilage of the dwellinghouse opposite the rear wall of the dwellinghouse;</w:t>
            </w:r>
          </w:p>
        </w:tc>
        <w:tc>
          <w:tcPr>
            <w:tcW w:w="1229" w:type="dxa"/>
            <w:vAlign w:val="bottom"/>
          </w:tcPr>
          <w:p w:rsidR="00F34D43" w:rsidRPr="00152C64" w:rsidRDefault="00F34D43" w:rsidP="00647CAC">
            <w:pPr>
              <w:jc w:val="center"/>
              <w:rPr>
                <w:rFonts w:ascii="Trebuchet MS" w:eastAsia="Times New Roman" w:hAnsi="Trebuchet MS"/>
                <w:b/>
                <w:color w:val="000000"/>
                <w:sz w:val="24"/>
                <w:szCs w:val="24"/>
              </w:rPr>
            </w:pPr>
            <w:r w:rsidRPr="00152C64">
              <w:rPr>
                <w:rFonts w:ascii="Trebuchet MS" w:eastAsia="Times New Roman" w:hAnsi="Trebuchet MS"/>
                <w:b/>
                <w:color w:val="000000"/>
                <w:sz w:val="24"/>
                <w:szCs w:val="24"/>
              </w:rPr>
              <w:t>complies</w:t>
            </w:r>
          </w:p>
        </w:tc>
      </w:tr>
      <w:tr w:rsidR="00F34D43"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152C64" w:rsidRDefault="00F34D43" w:rsidP="00647CAC">
            <w:pPr>
              <w:rPr>
                <w:rFonts w:ascii="Trebuchet MS" w:eastAsia="Times New Roman" w:hAnsi="Trebuchet MS"/>
                <w:color w:val="000000"/>
                <w:sz w:val="24"/>
                <w:szCs w:val="24"/>
              </w:rPr>
            </w:pPr>
          </w:p>
        </w:tc>
        <w:tc>
          <w:tcPr>
            <w:tcW w:w="1229" w:type="dxa"/>
            <w:vAlign w:val="bottom"/>
          </w:tcPr>
          <w:p w:rsidR="00F34D43" w:rsidRPr="00152C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AF3FE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b/>
                <w:color w:val="000000"/>
                <w:sz w:val="24"/>
                <w:szCs w:val="24"/>
              </w:rPr>
            </w:pPr>
            <w:r w:rsidRPr="008E6A64">
              <w:rPr>
                <w:rFonts w:ascii="Trebuchet MS" w:eastAsia="Times New Roman" w:hAnsi="Trebuchet MS"/>
                <w:color w:val="000000"/>
                <w:sz w:val="24"/>
                <w:szCs w:val="24"/>
              </w:rPr>
              <w:t xml:space="preserve">A.1 (i) the enlarged part of the dwellinghouse would be within 2 metres of the boundary of the curtilage of the dwellinghouse, and </w:t>
            </w:r>
            <w:r w:rsidRPr="008E6A64">
              <w:rPr>
                <w:rFonts w:ascii="Trebuchet MS" w:eastAsia="Times New Roman" w:hAnsi="Trebuchet MS"/>
                <w:color w:val="000000"/>
                <w:sz w:val="24"/>
                <w:szCs w:val="24"/>
              </w:rPr>
              <w:lastRenderedPageBreak/>
              <w:t>the height of the eaves of the enlarged part would exceed 3 metres;</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p w:rsidR="00F34D43" w:rsidRPr="008E6A64" w:rsidRDefault="00F34D43" w:rsidP="00647CAC">
            <w:pPr>
              <w:jc w:val="center"/>
              <w:rPr>
                <w:rFonts w:ascii="Trebuchet MS" w:eastAsia="Times New Roman" w:hAnsi="Trebuchet MS"/>
                <w:b/>
                <w:color w:val="000000"/>
                <w:sz w:val="24"/>
                <w:szCs w:val="24"/>
              </w:rPr>
            </w:pPr>
          </w:p>
          <w:p w:rsidR="00F34D43" w:rsidRPr="008E6A64" w:rsidRDefault="00F34D43" w:rsidP="00647CAC">
            <w:pPr>
              <w:jc w:val="center"/>
              <w:rPr>
                <w:rFonts w:ascii="Trebuchet MS" w:eastAsia="Times New Roman" w:hAnsi="Trebuchet MS"/>
                <w:b/>
                <w:color w:val="000000"/>
                <w:sz w:val="24"/>
                <w:szCs w:val="24"/>
              </w:rPr>
            </w:pPr>
          </w:p>
          <w:p w:rsidR="00F34D43" w:rsidRPr="008E6A64" w:rsidRDefault="009C6FDA" w:rsidP="00647CAC">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lastRenderedPageBreak/>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A.1 (j) the enlarged part of the dwellinghouse would extend beyond a wall forming a side elevation of the original dwellinghouse, and would – (i) exceed 4 metres in height,</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(ii) have more than a single storey,</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or (iii) have a width greater than half the width of the original dwellinghouse;</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A.1 (ja) any total enlargement (being the enlarged part together with any existing enlargement of the original dwellinghouse to which it will be joined) exceeds or would exceed the limits set out in sub-paragraphs (e) to (j);</w:t>
            </w:r>
          </w:p>
        </w:tc>
        <w:tc>
          <w:tcPr>
            <w:tcW w:w="1229" w:type="dxa"/>
            <w:vAlign w:val="bottom"/>
          </w:tcPr>
          <w:p w:rsidR="00F34D43" w:rsidRPr="008E6A64" w:rsidRDefault="009C6FDA" w:rsidP="009C6FDA">
            <w:pP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A.1 (k) it would consist of or include – (i) the construction or provision of a verandah, balcony or raised platform,</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(ii) the installation, alteration or replacement of a microwave antenna,</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(iii) the installation, alteration or replacement of a chimney, flue or soil and vent pipe,</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or (iv) an alteration to any part of the roof of the dwellinghouse.</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9242" w:type="dxa"/>
            <w:gridSpan w:val="3"/>
          </w:tcPr>
          <w:p w:rsidR="00F34D43" w:rsidRPr="008E6A64" w:rsidRDefault="00F34D43" w:rsidP="00647CAC">
            <w:pPr>
              <w:jc w:val="center"/>
              <w:rPr>
                <w:rFonts w:ascii="Trebuchet MS" w:eastAsia="Times New Roman" w:hAnsi="Trebuchet MS"/>
                <w:color w:val="000000"/>
                <w:sz w:val="24"/>
                <w:szCs w:val="24"/>
                <w:u w:val="single"/>
              </w:rPr>
            </w:pPr>
            <w:r w:rsidRPr="008E6A64">
              <w:rPr>
                <w:rFonts w:ascii="Trebuchet MS" w:eastAsia="Times New Roman" w:hAnsi="Trebuchet MS"/>
                <w:color w:val="000000"/>
                <w:sz w:val="24"/>
                <w:szCs w:val="24"/>
                <w:u w:val="single"/>
              </w:rPr>
              <w:t>Conditions</w:t>
            </w:r>
          </w:p>
        </w:tc>
      </w:tr>
      <w:tr w:rsidR="00F34D43" w:rsidRPr="008E6A64" w:rsidTr="00647CAC">
        <w:tc>
          <w:tcPr>
            <w:tcW w:w="9242" w:type="dxa"/>
            <w:gridSpan w:val="3"/>
          </w:tcPr>
          <w:p w:rsidR="00F34D43" w:rsidRPr="008E6A64" w:rsidRDefault="00F34D43" w:rsidP="00647CAC">
            <w:pPr>
              <w:rPr>
                <w:rFonts w:ascii="Trebuchet MS" w:eastAsia="Times New Roman" w:hAnsi="Trebuchet MS"/>
                <w:b/>
                <w:color w:val="000000"/>
                <w:sz w:val="24"/>
                <w:szCs w:val="24"/>
              </w:rPr>
            </w:pPr>
            <w:r w:rsidRPr="008E6A64">
              <w:rPr>
                <w:rFonts w:ascii="Trebuchet MS" w:eastAsia="Times New Roman" w:hAnsi="Trebuchet MS"/>
                <w:color w:val="000000"/>
                <w:sz w:val="24"/>
                <w:szCs w:val="24"/>
              </w:rPr>
              <w:t>Development is permitted by Class A subject to the following conditions: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b/>
                <w:color w:val="000000"/>
                <w:sz w:val="24"/>
                <w:szCs w:val="24"/>
              </w:rPr>
            </w:pPr>
            <w:r w:rsidRPr="008E6A64">
              <w:rPr>
                <w:rFonts w:ascii="Trebuchet MS" w:eastAsia="Times New Roman" w:hAnsi="Trebuchet MS"/>
                <w:color w:val="000000"/>
                <w:sz w:val="24"/>
                <w:szCs w:val="24"/>
              </w:rPr>
              <w:t>A.3 (a) the materials used in any exterior work (other than materials used in the construction of a conservatory) must be of a similar appearance to those used in the construction of the exterior of the dwellinghouse;</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p w:rsidR="00F34D43" w:rsidRPr="008E6A64" w:rsidRDefault="00F34D43" w:rsidP="00647CAC">
            <w:pPr>
              <w:jc w:val="center"/>
              <w:rPr>
                <w:rFonts w:ascii="Trebuchet MS" w:eastAsia="Times New Roman" w:hAnsi="Trebuchet MS"/>
                <w:b/>
                <w:color w:val="000000"/>
                <w:sz w:val="24"/>
                <w:szCs w:val="24"/>
              </w:rPr>
            </w:pPr>
          </w:p>
          <w:p w:rsidR="00F34D43" w:rsidRPr="008E6A64" w:rsidRDefault="00F34D43" w:rsidP="00647CAC">
            <w:pPr>
              <w:jc w:val="center"/>
              <w:rPr>
                <w:rFonts w:ascii="Trebuchet MS" w:eastAsia="Times New Roman" w:hAnsi="Trebuchet MS"/>
                <w:b/>
                <w:color w:val="000000"/>
                <w:sz w:val="24"/>
                <w:szCs w:val="24"/>
              </w:rPr>
            </w:pPr>
          </w:p>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complies</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A.3 (b) any upper-floor window located in a wall or roof slope forming a side elevation of the dwellinghouse must be (i) obscure-glazed,</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N/A</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and (ii) non-opening unless the parts of the window which can be opened are more than 1.7 metres above the floor of the room in which the window is installed;</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N/A</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and</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r w:rsidRPr="008E6A64">
              <w:rPr>
                <w:rFonts w:ascii="Trebuchet MS" w:eastAsia="Times New Roman" w:hAnsi="Trebuchet MS"/>
                <w:color w:val="000000"/>
                <w:sz w:val="24"/>
                <w:szCs w:val="24"/>
              </w:rPr>
              <w:t>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w:t>
            </w: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r w:rsidRPr="008E6A64">
              <w:rPr>
                <w:rFonts w:ascii="Trebuchet MS" w:eastAsia="Times New Roman" w:hAnsi="Trebuchet MS"/>
                <w:b/>
                <w:color w:val="000000"/>
                <w:sz w:val="24"/>
                <w:szCs w:val="24"/>
              </w:rPr>
              <w:t>N/A</w:t>
            </w: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r w:rsidR="00F34D43" w:rsidRPr="008E6A64" w:rsidTr="00647CAC">
        <w:tc>
          <w:tcPr>
            <w:tcW w:w="534" w:type="dxa"/>
          </w:tcPr>
          <w:p w:rsidR="00F34D43" w:rsidRPr="008E6A64" w:rsidRDefault="00F34D43" w:rsidP="00647CAC">
            <w:pPr>
              <w:rPr>
                <w:rFonts w:ascii="Trebuchet MS" w:eastAsia="Times New Roman" w:hAnsi="Trebuchet MS"/>
                <w:color w:val="000000"/>
                <w:sz w:val="24"/>
                <w:szCs w:val="24"/>
              </w:rPr>
            </w:pPr>
          </w:p>
          <w:p w:rsidR="00F34D43" w:rsidRPr="008E6A64" w:rsidRDefault="00F34D43" w:rsidP="00647CAC">
            <w:pPr>
              <w:rPr>
                <w:rFonts w:ascii="Trebuchet MS" w:eastAsia="Times New Roman" w:hAnsi="Trebuchet MS"/>
                <w:color w:val="000000"/>
                <w:sz w:val="24"/>
                <w:szCs w:val="24"/>
              </w:rPr>
            </w:pPr>
          </w:p>
          <w:p w:rsidR="00F34D43" w:rsidRPr="008E6A64" w:rsidRDefault="00F34D43" w:rsidP="00647CAC">
            <w:pPr>
              <w:rPr>
                <w:rFonts w:ascii="Trebuchet MS" w:eastAsia="Times New Roman" w:hAnsi="Trebuchet MS"/>
                <w:color w:val="000000"/>
                <w:sz w:val="24"/>
                <w:szCs w:val="24"/>
              </w:rPr>
            </w:pPr>
          </w:p>
        </w:tc>
        <w:tc>
          <w:tcPr>
            <w:tcW w:w="7479" w:type="dxa"/>
          </w:tcPr>
          <w:p w:rsidR="00F34D43" w:rsidRPr="008E6A64" w:rsidRDefault="00F34D43" w:rsidP="00647CAC">
            <w:pPr>
              <w:rPr>
                <w:rFonts w:ascii="Trebuchet MS" w:eastAsia="Times New Roman" w:hAnsi="Trebuchet MS"/>
                <w:color w:val="000000"/>
                <w:sz w:val="24"/>
                <w:szCs w:val="24"/>
              </w:rPr>
            </w:pPr>
          </w:p>
          <w:p w:rsidR="00F34D43" w:rsidRPr="008E6A64" w:rsidRDefault="00F34D43" w:rsidP="00647CAC">
            <w:pPr>
              <w:rPr>
                <w:rFonts w:ascii="Trebuchet MS" w:eastAsia="Times New Roman" w:hAnsi="Trebuchet MS"/>
                <w:color w:val="000000"/>
                <w:sz w:val="24"/>
                <w:szCs w:val="24"/>
              </w:rPr>
            </w:pPr>
          </w:p>
        </w:tc>
        <w:tc>
          <w:tcPr>
            <w:tcW w:w="1229" w:type="dxa"/>
            <w:vAlign w:val="bottom"/>
          </w:tcPr>
          <w:p w:rsidR="00F34D43" w:rsidRPr="008E6A64" w:rsidRDefault="00F34D43" w:rsidP="00647CAC">
            <w:pPr>
              <w:jc w:val="center"/>
              <w:rPr>
                <w:rFonts w:ascii="Trebuchet MS" w:eastAsia="Times New Roman" w:hAnsi="Trebuchet MS"/>
                <w:b/>
                <w:color w:val="000000"/>
                <w:sz w:val="24"/>
                <w:szCs w:val="24"/>
              </w:rPr>
            </w:pPr>
          </w:p>
        </w:tc>
      </w:tr>
    </w:tbl>
    <w:p w:rsidR="00F34D43" w:rsidRPr="00647CAC" w:rsidRDefault="00F34D43" w:rsidP="00F34D43">
      <w:pPr>
        <w:spacing w:line="240" w:lineRule="auto"/>
        <w:jc w:val="center"/>
        <w:rPr>
          <w:rFonts w:ascii="Trebuchet MS" w:eastAsia="Times New Roman" w:hAnsi="Trebuchet MS"/>
          <w:b/>
          <w:color w:val="000000"/>
          <w:sz w:val="28"/>
          <w:szCs w:val="24"/>
          <w:u w:val="single"/>
        </w:rPr>
      </w:pPr>
      <w:r w:rsidRPr="00647CAC">
        <w:rPr>
          <w:rFonts w:ascii="Trebuchet MS" w:eastAsia="Times New Roman" w:hAnsi="Trebuchet MS"/>
          <w:b/>
          <w:color w:val="000000"/>
          <w:sz w:val="28"/>
          <w:szCs w:val="24"/>
          <w:u w:val="single"/>
        </w:rPr>
        <w:lastRenderedPageBreak/>
        <w:t>Recommendation</w:t>
      </w:r>
    </w:p>
    <w:p w:rsidR="00647CAC" w:rsidRPr="00647CAC" w:rsidRDefault="00647CAC" w:rsidP="00647CAC">
      <w:pPr>
        <w:ind w:left="720"/>
        <w:rPr>
          <w:rFonts w:ascii="Trebuchet MS" w:eastAsia="Times New Roman" w:hAnsi="Trebuchet MS" w:cs="Times New Roman"/>
          <w:sz w:val="24"/>
          <w:szCs w:val="24"/>
        </w:rPr>
      </w:pPr>
      <w:r w:rsidRPr="00647CAC">
        <w:rPr>
          <w:rFonts w:ascii="Trebuchet MS" w:eastAsia="Times New Roman" w:hAnsi="Trebuchet MS" w:cs="Times New Roman"/>
          <w:sz w:val="24"/>
          <w:szCs w:val="24"/>
        </w:rPr>
        <w:t xml:space="preserve">The proposal has been assessed against the Town and Country Planning Act 1990 (as amended) Class </w:t>
      </w:r>
      <w:r>
        <w:rPr>
          <w:rFonts w:ascii="Trebuchet MS" w:eastAsia="Times New Roman" w:hAnsi="Trebuchet MS" w:cs="Times New Roman"/>
          <w:sz w:val="24"/>
          <w:szCs w:val="24"/>
        </w:rPr>
        <w:t>A</w:t>
      </w:r>
      <w:r w:rsidRPr="00647CAC">
        <w:rPr>
          <w:rFonts w:ascii="Trebuchet MS" w:eastAsia="Times New Roman" w:hAnsi="Trebuchet MS" w:cs="Times New Roman"/>
          <w:sz w:val="24"/>
          <w:szCs w:val="24"/>
        </w:rPr>
        <w:t xml:space="preserve">, Part 1, Schedule 2 of the Town and Country Planning (General Permitted Development) (England) Order 2015. </w:t>
      </w:r>
    </w:p>
    <w:p w:rsidR="00647CAC" w:rsidRPr="00647CAC" w:rsidRDefault="00647CAC" w:rsidP="00647CAC">
      <w:pPr>
        <w:ind w:left="720"/>
        <w:rPr>
          <w:rFonts w:ascii="Trebuchet MS" w:eastAsia="Times New Roman" w:hAnsi="Trebuchet MS" w:cs="Times New Roman"/>
          <w:sz w:val="24"/>
          <w:szCs w:val="24"/>
        </w:rPr>
      </w:pPr>
      <w:r w:rsidRPr="00647CAC">
        <w:rPr>
          <w:rFonts w:ascii="Trebuchet MS" w:eastAsia="Times New Roman" w:hAnsi="Trebuchet MS" w:cs="Times New Roman"/>
          <w:sz w:val="24"/>
          <w:szCs w:val="24"/>
        </w:rPr>
        <w:t>It can be confirmed that the proposed operation would be lawful for planning purposes on the basis of the drawings received on</w:t>
      </w:r>
      <w:r w:rsidR="00EC5531">
        <w:rPr>
          <w:rFonts w:ascii="Trebuchet MS" w:eastAsia="Times New Roman" w:hAnsi="Trebuchet MS" w:cs="Times New Roman"/>
          <w:sz w:val="24"/>
          <w:szCs w:val="24"/>
        </w:rPr>
        <w:t xml:space="preserve"> the</w:t>
      </w:r>
      <w:r w:rsidRPr="00647CAC">
        <w:rPr>
          <w:rFonts w:ascii="Trebuchet MS" w:eastAsia="Times New Roman" w:hAnsi="Trebuchet MS" w:cs="Times New Roman"/>
          <w:sz w:val="24"/>
          <w:szCs w:val="24"/>
        </w:rPr>
        <w:t>:</w:t>
      </w:r>
    </w:p>
    <w:p w:rsidR="00647CAC" w:rsidRPr="00647CAC" w:rsidRDefault="00647CAC" w:rsidP="00647CAC">
      <w:pPr>
        <w:ind w:left="720"/>
        <w:jc w:val="center"/>
        <w:rPr>
          <w:rFonts w:ascii="Trebuchet MS" w:eastAsia="Times New Roman" w:hAnsi="Trebuchet MS" w:cs="Times New Roman"/>
          <w:b/>
          <w:sz w:val="24"/>
          <w:szCs w:val="24"/>
        </w:rPr>
      </w:pPr>
      <w:r>
        <w:rPr>
          <w:rFonts w:ascii="Trebuchet MS" w:eastAsia="Times New Roman" w:hAnsi="Trebuchet MS" w:cs="Times New Roman"/>
          <w:b/>
          <w:sz w:val="24"/>
          <w:szCs w:val="24"/>
        </w:rPr>
        <w:t>16</w:t>
      </w:r>
      <w:r w:rsidRPr="00647CAC">
        <w:rPr>
          <w:rFonts w:ascii="Trebuchet MS" w:eastAsia="Times New Roman" w:hAnsi="Trebuchet MS" w:cs="Times New Roman"/>
          <w:b/>
          <w:sz w:val="24"/>
          <w:szCs w:val="24"/>
          <w:vertAlign w:val="superscript"/>
        </w:rPr>
        <w:t>th</w:t>
      </w:r>
      <w:r>
        <w:rPr>
          <w:rFonts w:ascii="Trebuchet MS" w:eastAsia="Times New Roman" w:hAnsi="Trebuchet MS" w:cs="Times New Roman"/>
          <w:b/>
          <w:sz w:val="24"/>
          <w:szCs w:val="24"/>
        </w:rPr>
        <w:t xml:space="preserve"> </w:t>
      </w:r>
      <w:r w:rsidRPr="00647CAC">
        <w:rPr>
          <w:rFonts w:ascii="Trebuchet MS" w:eastAsia="Times New Roman" w:hAnsi="Trebuchet MS" w:cs="Times New Roman"/>
          <w:b/>
          <w:sz w:val="24"/>
          <w:szCs w:val="24"/>
        </w:rPr>
        <w:t>of December 2020</w:t>
      </w:r>
    </w:p>
    <w:p w:rsidR="00021541" w:rsidRPr="00723C68" w:rsidRDefault="00647CAC" w:rsidP="00723C68">
      <w:pPr>
        <w:ind w:left="720"/>
        <w:rPr>
          <w:rFonts w:ascii="Trebuchet MS" w:eastAsia="Times New Roman" w:hAnsi="Trebuchet MS" w:cs="Times New Roman"/>
          <w:color w:val="000000"/>
          <w:sz w:val="24"/>
          <w:szCs w:val="24"/>
        </w:rPr>
      </w:pPr>
      <w:r w:rsidRPr="00647CAC">
        <w:rPr>
          <w:rFonts w:ascii="Trebuchet MS" w:eastAsia="Times New Roman" w:hAnsi="Trebuchet MS" w:cs="Times New Roman"/>
          <w:color w:val="000000"/>
          <w:sz w:val="24"/>
          <w:szCs w:val="24"/>
        </w:rPr>
        <w:t>Sufficient evidence has been provided to demonstrate that a Certificate of Lawfulness shoul</w:t>
      </w:r>
      <w:r w:rsidR="00EC5531">
        <w:rPr>
          <w:rFonts w:ascii="Trebuchet MS" w:eastAsia="Times New Roman" w:hAnsi="Trebuchet MS" w:cs="Times New Roman"/>
          <w:color w:val="000000"/>
          <w:sz w:val="24"/>
          <w:szCs w:val="24"/>
        </w:rPr>
        <w:t xml:space="preserve">d be granted for the proposed. </w:t>
      </w:r>
      <w:bookmarkStart w:id="0" w:name="_GoBack"/>
      <w:bookmarkEnd w:id="0"/>
    </w:p>
    <w:sectPr w:rsidR="00021541" w:rsidRPr="00723C6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CAC" w:rsidRDefault="00647CAC" w:rsidP="0022790B">
      <w:pPr>
        <w:spacing w:after="0" w:line="240" w:lineRule="auto"/>
      </w:pPr>
      <w:r>
        <w:separator/>
      </w:r>
    </w:p>
  </w:endnote>
  <w:endnote w:type="continuationSeparator" w:id="0">
    <w:p w:rsidR="00647CAC" w:rsidRDefault="00647CAC"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AC" w:rsidRDefault="00647C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0885431"/>
      <w:docPartObj>
        <w:docPartGallery w:val="Page Numbers (Bottom of Page)"/>
        <w:docPartUnique/>
      </w:docPartObj>
    </w:sdtPr>
    <w:sdtEndPr>
      <w:rPr>
        <w:noProof/>
      </w:rPr>
    </w:sdtEndPr>
    <w:sdtContent>
      <w:p w:rsidR="00647CAC" w:rsidRDefault="00647CAC">
        <w:pPr>
          <w:pStyle w:val="Footer"/>
          <w:jc w:val="right"/>
        </w:pPr>
        <w:r>
          <w:fldChar w:fldCharType="begin"/>
        </w:r>
        <w:r>
          <w:instrText xml:space="preserve"> PAGE   \* MERGEFORMAT </w:instrText>
        </w:r>
        <w:r>
          <w:fldChar w:fldCharType="separate"/>
        </w:r>
        <w:r w:rsidR="00723C68">
          <w:rPr>
            <w:noProof/>
          </w:rPr>
          <w:t>4</w:t>
        </w:r>
        <w:r>
          <w:rPr>
            <w:noProof/>
          </w:rPr>
          <w:fldChar w:fldCharType="end"/>
        </w:r>
      </w:p>
    </w:sdtContent>
  </w:sdt>
  <w:p w:rsidR="00647CAC" w:rsidRDefault="00647C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AC" w:rsidRDefault="00647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CAC" w:rsidRDefault="00647CAC" w:rsidP="0022790B">
      <w:pPr>
        <w:spacing w:after="0" w:line="240" w:lineRule="auto"/>
      </w:pPr>
      <w:r>
        <w:separator/>
      </w:r>
    </w:p>
  </w:footnote>
  <w:footnote w:type="continuationSeparator" w:id="0">
    <w:p w:rsidR="00647CAC" w:rsidRDefault="00647CAC"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AC" w:rsidRDefault="00647C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AC" w:rsidRDefault="00647CAC" w:rsidP="00364470">
    <w:pPr>
      <w:pStyle w:val="Header"/>
      <w:jc w:val="center"/>
    </w:pPr>
    <w:r w:rsidRPr="00AF3FE4">
      <w:rPr>
        <w:rFonts w:ascii="Trebuchet MS" w:hAnsi="Trebuchet MS"/>
        <w:b/>
        <w:sz w:val="24"/>
        <w:szCs w:val="24"/>
        <w:u w:val="single"/>
      </w:rPr>
      <w:t>Delegated Application Report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AC" w:rsidRDefault="00647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504"/>
    <w:rsid w:val="00021541"/>
    <w:rsid w:val="00037BAF"/>
    <w:rsid w:val="00062763"/>
    <w:rsid w:val="0007503E"/>
    <w:rsid w:val="00075F51"/>
    <w:rsid w:val="0008554A"/>
    <w:rsid w:val="00096948"/>
    <w:rsid w:val="000E5A3F"/>
    <w:rsid w:val="000E672B"/>
    <w:rsid w:val="001274AA"/>
    <w:rsid w:val="0014241C"/>
    <w:rsid w:val="0017663F"/>
    <w:rsid w:val="00215C25"/>
    <w:rsid w:val="00225DA7"/>
    <w:rsid w:val="0022790B"/>
    <w:rsid w:val="00233128"/>
    <w:rsid w:val="00235647"/>
    <w:rsid w:val="00246D7F"/>
    <w:rsid w:val="00265AFE"/>
    <w:rsid w:val="00270CCE"/>
    <w:rsid w:val="003065BE"/>
    <w:rsid w:val="00364470"/>
    <w:rsid w:val="003A191B"/>
    <w:rsid w:val="003C6957"/>
    <w:rsid w:val="003D179A"/>
    <w:rsid w:val="003F6D90"/>
    <w:rsid w:val="00407804"/>
    <w:rsid w:val="0041701F"/>
    <w:rsid w:val="00443835"/>
    <w:rsid w:val="004838C2"/>
    <w:rsid w:val="00530AEB"/>
    <w:rsid w:val="005B391B"/>
    <w:rsid w:val="00625504"/>
    <w:rsid w:val="00647CAC"/>
    <w:rsid w:val="006A17A0"/>
    <w:rsid w:val="006A5B04"/>
    <w:rsid w:val="006B6FC3"/>
    <w:rsid w:val="006E4EB5"/>
    <w:rsid w:val="00723C68"/>
    <w:rsid w:val="007625B4"/>
    <w:rsid w:val="007835EE"/>
    <w:rsid w:val="007B11DE"/>
    <w:rsid w:val="007F7924"/>
    <w:rsid w:val="008A59CB"/>
    <w:rsid w:val="008E6A64"/>
    <w:rsid w:val="00912B7D"/>
    <w:rsid w:val="009A3326"/>
    <w:rsid w:val="009C6FDA"/>
    <w:rsid w:val="009F782D"/>
    <w:rsid w:val="00AD5655"/>
    <w:rsid w:val="00AF3FE4"/>
    <w:rsid w:val="00B831C3"/>
    <w:rsid w:val="00BC092F"/>
    <w:rsid w:val="00C40D2F"/>
    <w:rsid w:val="00CA33A3"/>
    <w:rsid w:val="00D330DE"/>
    <w:rsid w:val="00E14F36"/>
    <w:rsid w:val="00E1716B"/>
    <w:rsid w:val="00E302F2"/>
    <w:rsid w:val="00E65B71"/>
    <w:rsid w:val="00EC5531"/>
    <w:rsid w:val="00EE1E39"/>
    <w:rsid w:val="00EE5DDF"/>
    <w:rsid w:val="00F104AB"/>
    <w:rsid w:val="00F34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CE59"/>
  <w15:docId w15:val="{106F2219-E6E4-462A-9292-D9086880F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table" w:styleId="TableGrid">
    <w:name w:val="Table Grid"/>
    <w:basedOn w:val="TableNormal"/>
    <w:uiPriority w:val="59"/>
    <w:rsid w:val="00233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EE5DDF"/>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uiPriority w:val="99"/>
    <w:semiHidden/>
    <w:rsid w:val="00EE5DDF"/>
  </w:style>
  <w:style w:type="character" w:customStyle="1" w:styleId="BodyTextChar1">
    <w:name w:val="Body Text Char1"/>
    <w:link w:val="BodyText"/>
    <w:locked/>
    <w:rsid w:val="00EE5DDF"/>
    <w:rPr>
      <w:rFonts w:ascii="Times New Roman" w:eastAsia="Times New Roman" w:hAnsi="Times New Roman" w:cs="Times New Roman"/>
      <w:b/>
      <w:sz w:val="24"/>
      <w:szCs w:val="20"/>
    </w:rPr>
  </w:style>
  <w:style w:type="paragraph" w:customStyle="1" w:styleId="Normal44">
    <w:name w:val="Normal_44"/>
    <w:qFormat/>
    <w:rsid w:val="007625B4"/>
    <w:pPr>
      <w:autoSpaceDE w:val="0"/>
      <w:autoSpaceDN w:val="0"/>
      <w:spacing w:after="0" w:line="240" w:lineRule="auto"/>
    </w:pPr>
    <w:rPr>
      <w:rFonts w:ascii="Times New Roman" w:eastAsia="Times New Roman" w:hAnsi="Times New Roman" w:cs="Times New Roman"/>
      <w:sz w:val="20"/>
      <w:szCs w:val="20"/>
    </w:rPr>
  </w:style>
  <w:style w:type="paragraph" w:customStyle="1" w:styleId="Normal28">
    <w:name w:val="Normal_28"/>
    <w:qFormat/>
    <w:rsid w:val="00B831C3"/>
    <w:pPr>
      <w:autoSpaceDE w:val="0"/>
      <w:autoSpaceDN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D361B-573E-4017-93E4-888AFA58F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Schofield, James</cp:lastModifiedBy>
  <cp:revision>8</cp:revision>
  <dcterms:created xsi:type="dcterms:W3CDTF">2021-02-12T11:33:00Z</dcterms:created>
  <dcterms:modified xsi:type="dcterms:W3CDTF">2021-02-12T14:46:00Z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