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FF3" w:rsidRPr="00FF3B1B" w:rsidRDefault="00074FF3">
      <w:pPr>
        <w:pStyle w:val="BodyText"/>
        <w:tabs>
          <w:tab w:val="left" w:pos="2552"/>
        </w:tabs>
        <w:ind w:left="2552" w:hanging="2552"/>
        <w:jc w:val="both"/>
        <w:rPr>
          <w:rFonts w:ascii="Trebuchet MS" w:hAnsi="Trebuchet MS"/>
          <w:b w:val="0"/>
          <w:sz w:val="22"/>
          <w:szCs w:val="22"/>
        </w:rPr>
      </w:pPr>
      <w:bookmarkStart w:id="0" w:name="_GoBack"/>
      <w:bookmarkEnd w:id="0"/>
    </w:p>
    <w:p w:rsidR="00074FF3" w:rsidRPr="00FF3B1B" w:rsidRDefault="00074FF3" w:rsidP="00074FF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074FF3" w:rsidRPr="00FF3B1B" w:rsidRDefault="00074FF3" w:rsidP="00074FF3">
      <w:pPr>
        <w:pStyle w:val="BodyText"/>
        <w:tabs>
          <w:tab w:val="left" w:pos="2552"/>
        </w:tabs>
        <w:ind w:left="3272" w:hanging="2552"/>
        <w:jc w:val="both"/>
        <w:rPr>
          <w:rFonts w:ascii="Trebuchet MS" w:hAnsi="Trebuchet MS"/>
          <w:sz w:val="22"/>
          <w:szCs w:val="22"/>
        </w:rPr>
      </w:pPr>
    </w:p>
    <w:p w:rsidR="00074FF3" w:rsidRPr="00FF3B1B" w:rsidRDefault="00074FF3" w:rsidP="00074FF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w:t>
      </w:r>
    </w:p>
    <w:p w:rsidR="00074FF3" w:rsidRPr="00FF3B1B" w:rsidRDefault="00074FF3" w:rsidP="00074FF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211933</w:t>
      </w:r>
      <w:r w:rsidRPr="00FF3B1B">
        <w:rPr>
          <w:rFonts w:ascii="Trebuchet MS" w:hAnsi="Trebuchet MS"/>
          <w:b w:val="0"/>
          <w:sz w:val="22"/>
          <w:szCs w:val="22"/>
        </w:rPr>
        <w:t>/</w:t>
      </w:r>
      <w:r w:rsidRPr="00FF3B1B">
        <w:rPr>
          <w:rFonts w:ascii="Trebuchet MS" w:hAnsi="Trebuchet MS"/>
          <w:sz w:val="22"/>
          <w:szCs w:val="22"/>
        </w:rPr>
        <w:t>HPA</w:t>
      </w:r>
    </w:p>
    <w:p w:rsidR="00074FF3" w:rsidRPr="00FF3B1B" w:rsidRDefault="00074FF3" w:rsidP="00074FF3">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5 Kings Road, Caversham, Reading, RG4 8DS</w:t>
      </w:r>
    </w:p>
    <w:p w:rsidR="00074FF3" w:rsidRPr="00FF3B1B" w:rsidRDefault="00074FF3" w:rsidP="00074FF3">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Rear extension measuring 6.0m in depth, with a maximum height of 3.8m, and 3.m in height to eaves level. Notification of the construction of an extension under class A Part 1 of Schedule 2 of the Town and Country Planning (General Permitted Development) (England) Order 2015. </w:t>
      </w:r>
    </w:p>
    <w:p w:rsidR="00074FF3" w:rsidRPr="00FF3B1B" w:rsidRDefault="00074FF3" w:rsidP="00074FF3">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074FF3" w:rsidRPr="00FF3B1B" w:rsidRDefault="00074FF3" w:rsidP="00074FF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Mrs S Vasiljeva</w:t>
      </w:r>
    </w:p>
    <w:p w:rsidR="00BE0388" w:rsidRDefault="00074FF3" w:rsidP="00074FF3">
      <w:pPr>
        <w:pStyle w:val="BodyText"/>
        <w:ind w:left="720"/>
        <w:jc w:val="both"/>
        <w:rPr>
          <w:rFonts w:ascii="Trebuchet MS" w:hAnsi="Trebuchet MS"/>
          <w:sz w:val="22"/>
          <w:szCs w:val="22"/>
        </w:rPr>
      </w:pPr>
      <w:r w:rsidRPr="00FF3B1B">
        <w:rPr>
          <w:rFonts w:ascii="Trebuchet MS" w:hAnsi="Trebuchet MS"/>
          <w:sz w:val="22"/>
          <w:szCs w:val="22"/>
        </w:rPr>
        <w:t>Date received (valid from): 30 November 2021</w:t>
      </w:r>
      <w:r>
        <w:rPr>
          <w:rFonts w:ascii="Trebuchet MS" w:hAnsi="Trebuchet MS"/>
          <w:sz w:val="22"/>
          <w:szCs w:val="22"/>
        </w:rPr>
        <w:t xml:space="preserve">      </w:t>
      </w:r>
    </w:p>
    <w:p w:rsidR="00074FF3" w:rsidRPr="00FF3B1B" w:rsidRDefault="00074FF3" w:rsidP="00074FF3">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6761D5">
        <w:rPr>
          <w:rFonts w:ascii="Trebuchet MS" w:hAnsi="Trebuchet MS" w:cs="Trebuchet MS"/>
          <w:noProof/>
          <w:sz w:val="22"/>
          <w:szCs w:val="22"/>
        </w:rPr>
        <w:t>1</w:t>
      </w:r>
      <w:r w:rsidR="007D3064">
        <w:rPr>
          <w:rFonts w:ascii="Trebuchet MS" w:hAnsi="Trebuchet MS" w:cs="Trebuchet MS"/>
          <w:noProof/>
          <w:sz w:val="22"/>
          <w:szCs w:val="22"/>
        </w:rPr>
        <w:t>4</w:t>
      </w:r>
      <w:r w:rsidR="00B01199">
        <w:rPr>
          <w:rFonts w:ascii="Trebuchet MS" w:hAnsi="Trebuchet MS" w:cs="Trebuchet MS"/>
          <w:noProof/>
          <w:sz w:val="22"/>
          <w:szCs w:val="22"/>
        </w:rPr>
        <w:t xml:space="preserve"> Febr</w:t>
      </w:r>
      <w:r w:rsidRPr="00FF3B1B">
        <w:rPr>
          <w:rFonts w:ascii="Trebuchet MS" w:hAnsi="Trebuchet MS" w:cs="Trebuchet MS"/>
          <w:noProof/>
          <w:sz w:val="22"/>
          <w:szCs w:val="22"/>
        </w:rPr>
        <w:t>uary</w:t>
      </w:r>
      <w:r w:rsidRPr="00FF3B1B">
        <w:rPr>
          <w:rFonts w:ascii="Trebuchet MS" w:hAnsi="Trebuchet MS" w:cs="Trebuchet MS"/>
          <w:sz w:val="22"/>
          <w:szCs w:val="22"/>
        </w:rPr>
        <w:t xml:space="preserve"> 2022</w:t>
      </w:r>
      <w:r w:rsidRPr="00FF3B1B">
        <w:rPr>
          <w:rFonts w:ascii="Trebuchet MS" w:hAnsi="Trebuchet MS"/>
          <w:sz w:val="22"/>
          <w:szCs w:val="22"/>
        </w:rPr>
        <w:tab/>
      </w:r>
    </w:p>
    <w:p w:rsidR="00074FF3" w:rsidRPr="00FF3B1B" w:rsidRDefault="00074FF3">
      <w:pPr>
        <w:pStyle w:val="BodyText"/>
        <w:tabs>
          <w:tab w:val="left" w:pos="2552"/>
        </w:tabs>
        <w:ind w:left="2552" w:hanging="2552"/>
        <w:jc w:val="both"/>
        <w:rPr>
          <w:rFonts w:ascii="Trebuchet MS" w:hAnsi="Trebuchet MS"/>
          <w:b w:val="0"/>
          <w:sz w:val="22"/>
          <w:szCs w:val="22"/>
        </w:rPr>
      </w:pPr>
    </w:p>
    <w:p w:rsidR="00074FF3" w:rsidRPr="00FF3B1B" w:rsidRDefault="00074FF3">
      <w:pPr>
        <w:jc w:val="both"/>
        <w:rPr>
          <w:b/>
          <w:bCs/>
          <w:sz w:val="22"/>
          <w:szCs w:val="22"/>
        </w:rPr>
      </w:pPr>
      <w:r w:rsidRPr="00FF3B1B">
        <w:rPr>
          <w:b/>
          <w:bCs/>
          <w:sz w:val="22"/>
          <w:szCs w:val="22"/>
        </w:rPr>
        <w:tab/>
        <w:t>INTRODUCTION</w:t>
      </w:r>
    </w:p>
    <w:p w:rsidR="00074FF3" w:rsidRPr="00A55F3D" w:rsidRDefault="00074FF3" w:rsidP="00074FF3">
      <w:pPr>
        <w:ind w:left="720"/>
        <w:jc w:val="both"/>
        <w:rPr>
          <w:sz w:val="22"/>
          <w:szCs w:val="22"/>
        </w:rPr>
      </w:pPr>
      <w:r w:rsidRPr="00A55F3D">
        <w:rPr>
          <w:sz w:val="22"/>
          <w:szCs w:val="22"/>
        </w:rPr>
        <w:t>The proposal site is in a mid-terrace dwelling, located on the southern side of Kings Road. The surrounding area is residential, characterised by rows of terraced buildings of similar style and scale.</w:t>
      </w:r>
    </w:p>
    <w:p w:rsidR="00074FF3" w:rsidRPr="00FF3B1B" w:rsidRDefault="00074FF3">
      <w:pPr>
        <w:jc w:val="both"/>
        <w:rPr>
          <w:sz w:val="22"/>
          <w:szCs w:val="22"/>
        </w:rPr>
      </w:pPr>
    </w:p>
    <w:p w:rsidR="00074FF3" w:rsidRPr="00FF3B1B" w:rsidRDefault="00074FF3">
      <w:pPr>
        <w:jc w:val="both"/>
        <w:rPr>
          <w:b/>
          <w:bCs/>
          <w:sz w:val="22"/>
          <w:szCs w:val="22"/>
        </w:rPr>
      </w:pPr>
    </w:p>
    <w:p w:rsidR="00074FF3" w:rsidRPr="00FF3B1B" w:rsidRDefault="00074FF3">
      <w:pPr>
        <w:jc w:val="both"/>
        <w:rPr>
          <w:b/>
          <w:bCs/>
          <w:sz w:val="22"/>
          <w:szCs w:val="22"/>
        </w:rPr>
      </w:pPr>
      <w:r w:rsidRPr="00FF3B1B">
        <w:rPr>
          <w:b/>
          <w:bCs/>
          <w:sz w:val="22"/>
          <w:szCs w:val="22"/>
        </w:rPr>
        <w:tab/>
        <w:t>PROPOSAL AND SUPPORTING INFORMATION</w:t>
      </w:r>
    </w:p>
    <w:p w:rsidR="00074FF3" w:rsidRDefault="00074FF3" w:rsidP="00074FF3">
      <w:pPr>
        <w:ind w:firstLine="720"/>
        <w:rPr>
          <w:b/>
          <w:sz w:val="22"/>
          <w:szCs w:val="22"/>
        </w:rPr>
      </w:pPr>
    </w:p>
    <w:p w:rsidR="004A4E9E" w:rsidRPr="00FF3B1B" w:rsidRDefault="004A4E9E" w:rsidP="004A4E9E">
      <w:pPr>
        <w:ind w:left="720"/>
        <w:rPr>
          <w:sz w:val="22"/>
          <w:szCs w:val="22"/>
        </w:rPr>
      </w:pPr>
      <w:r>
        <w:rPr>
          <w:sz w:val="22"/>
          <w:szCs w:val="22"/>
        </w:rPr>
        <w:t xml:space="preserve">Notification of the construction of an extension under class A Part 1 of Schedule 2 of the     Town and Country Planning (General Permitted Development) (England) Order 2015. </w:t>
      </w:r>
    </w:p>
    <w:p w:rsidR="004A4E9E" w:rsidRDefault="004A4E9E" w:rsidP="00074FF3">
      <w:pPr>
        <w:ind w:left="720"/>
        <w:rPr>
          <w:sz w:val="22"/>
          <w:szCs w:val="22"/>
        </w:rPr>
      </w:pPr>
    </w:p>
    <w:p w:rsidR="00074FF3" w:rsidRDefault="00074FF3" w:rsidP="00074FF3">
      <w:pPr>
        <w:ind w:left="720"/>
        <w:rPr>
          <w:sz w:val="22"/>
          <w:szCs w:val="22"/>
        </w:rPr>
      </w:pPr>
      <w:r>
        <w:rPr>
          <w:sz w:val="22"/>
          <w:szCs w:val="22"/>
        </w:rPr>
        <w:t>The proposal is for a rear extension measuring 6.0m in depth</w:t>
      </w:r>
      <w:r w:rsidR="004A4E9E">
        <w:rPr>
          <w:sz w:val="22"/>
          <w:szCs w:val="22"/>
        </w:rPr>
        <w:t xml:space="preserve"> and 3.7m wide</w:t>
      </w:r>
      <w:r>
        <w:rPr>
          <w:sz w:val="22"/>
          <w:szCs w:val="22"/>
        </w:rPr>
        <w:t>, with</w:t>
      </w:r>
      <w:r w:rsidR="004A4E9E">
        <w:rPr>
          <w:sz w:val="22"/>
          <w:szCs w:val="22"/>
        </w:rPr>
        <w:t xml:space="preserve"> a maximum height of 3.1m, and 2</w:t>
      </w:r>
      <w:r>
        <w:rPr>
          <w:sz w:val="22"/>
          <w:szCs w:val="22"/>
        </w:rPr>
        <w:t>.</w:t>
      </w:r>
      <w:r w:rsidR="004A4E9E">
        <w:rPr>
          <w:sz w:val="22"/>
          <w:szCs w:val="22"/>
        </w:rPr>
        <w:t>8</w:t>
      </w:r>
      <w:r>
        <w:rPr>
          <w:sz w:val="22"/>
          <w:szCs w:val="22"/>
        </w:rPr>
        <w:t xml:space="preserve">m in height to eaves level. </w:t>
      </w:r>
      <w:r w:rsidR="004A4E9E">
        <w:rPr>
          <w:sz w:val="22"/>
          <w:szCs w:val="22"/>
        </w:rPr>
        <w:t>Materials are to match existing.</w:t>
      </w:r>
    </w:p>
    <w:p w:rsidR="00074FF3" w:rsidRDefault="00074FF3" w:rsidP="00074FF3">
      <w:pPr>
        <w:ind w:firstLine="720"/>
        <w:rPr>
          <w:sz w:val="22"/>
          <w:szCs w:val="22"/>
        </w:rPr>
      </w:pPr>
    </w:p>
    <w:p w:rsidR="00074FF3" w:rsidRPr="00FF3B1B" w:rsidRDefault="00074FF3">
      <w:pPr>
        <w:pStyle w:val="BodyText"/>
        <w:ind w:left="720" w:hanging="720"/>
        <w:jc w:val="both"/>
        <w:rPr>
          <w:rFonts w:ascii="Trebuchet MS" w:hAnsi="Trebuchet MS"/>
          <w:b w:val="0"/>
          <w:sz w:val="22"/>
          <w:szCs w:val="22"/>
        </w:rPr>
      </w:pPr>
    </w:p>
    <w:p w:rsidR="00074FF3" w:rsidRPr="00074FF3" w:rsidRDefault="00074FF3" w:rsidP="00074FF3">
      <w:pPr>
        <w:pStyle w:val="BodyText"/>
        <w:ind w:left="720"/>
        <w:jc w:val="both"/>
        <w:rPr>
          <w:rFonts w:ascii="Trebuchet MS" w:hAnsi="Trebuchet MS"/>
          <w:bCs/>
          <w:sz w:val="22"/>
          <w:szCs w:val="22"/>
        </w:rPr>
      </w:pPr>
      <w:r w:rsidRPr="00074FF3">
        <w:rPr>
          <w:rFonts w:ascii="Trebuchet MS" w:hAnsi="Trebuchet MS"/>
          <w:bCs/>
          <w:sz w:val="22"/>
          <w:szCs w:val="22"/>
        </w:rPr>
        <w:t>Plans considered</w:t>
      </w:r>
      <w:r w:rsidR="006135B2">
        <w:rPr>
          <w:rFonts w:ascii="Trebuchet MS" w:hAnsi="Trebuchet MS"/>
          <w:bCs/>
          <w:sz w:val="22"/>
          <w:szCs w:val="22"/>
        </w:rPr>
        <w:t xml:space="preserve"> (Received 30</w:t>
      </w:r>
      <w:r w:rsidR="006135B2" w:rsidRPr="006135B2">
        <w:rPr>
          <w:rFonts w:ascii="Trebuchet MS" w:hAnsi="Trebuchet MS"/>
          <w:bCs/>
          <w:sz w:val="22"/>
          <w:szCs w:val="22"/>
          <w:vertAlign w:val="superscript"/>
        </w:rPr>
        <w:t>th</w:t>
      </w:r>
      <w:r w:rsidR="006135B2">
        <w:rPr>
          <w:rFonts w:ascii="Trebuchet MS" w:hAnsi="Trebuchet MS"/>
          <w:bCs/>
          <w:sz w:val="22"/>
          <w:szCs w:val="22"/>
        </w:rPr>
        <w:t xml:space="preserve"> September 2021)</w:t>
      </w:r>
    </w:p>
    <w:p w:rsidR="009B56DF" w:rsidRPr="009B56DF" w:rsidRDefault="00074FF3" w:rsidP="009B56DF">
      <w:pPr>
        <w:pStyle w:val="BodyText"/>
        <w:ind w:left="720" w:hanging="720"/>
        <w:jc w:val="both"/>
        <w:rPr>
          <w:rFonts w:ascii="Trebuchet MS" w:hAnsi="Trebuchet MS"/>
          <w:b w:val="0"/>
          <w:bCs/>
          <w:sz w:val="22"/>
          <w:szCs w:val="22"/>
        </w:rPr>
      </w:pPr>
      <w:r>
        <w:rPr>
          <w:b w:val="0"/>
          <w:bCs/>
          <w:sz w:val="22"/>
          <w:szCs w:val="22"/>
        </w:rPr>
        <w:tab/>
      </w:r>
      <w:r w:rsidR="009B56DF" w:rsidRPr="009B56DF">
        <w:rPr>
          <w:rFonts w:ascii="Trebuchet MS" w:hAnsi="Trebuchet MS"/>
          <w:b w:val="0"/>
          <w:bCs/>
          <w:sz w:val="22"/>
          <w:szCs w:val="22"/>
        </w:rPr>
        <w:t>PL-01- Location Plan</w:t>
      </w:r>
    </w:p>
    <w:p w:rsidR="009B56DF" w:rsidRPr="009B56DF" w:rsidRDefault="009B56DF" w:rsidP="009B56DF">
      <w:pPr>
        <w:pStyle w:val="BodyText"/>
        <w:ind w:left="1440" w:hanging="720"/>
        <w:jc w:val="both"/>
        <w:rPr>
          <w:rFonts w:ascii="Trebuchet MS" w:hAnsi="Trebuchet MS"/>
          <w:b w:val="0"/>
          <w:bCs/>
          <w:sz w:val="22"/>
          <w:szCs w:val="22"/>
        </w:rPr>
      </w:pPr>
      <w:r w:rsidRPr="009B56DF">
        <w:rPr>
          <w:rFonts w:ascii="Trebuchet MS" w:hAnsi="Trebuchet MS"/>
          <w:b w:val="0"/>
          <w:bCs/>
          <w:sz w:val="22"/>
          <w:szCs w:val="22"/>
        </w:rPr>
        <w:t xml:space="preserve">PL-03- </w:t>
      </w:r>
      <w:r w:rsidRPr="009B56DF">
        <w:rPr>
          <w:rFonts w:ascii="Trebuchet MS" w:eastAsia="Arial-BoldMT" w:hAnsi="Trebuchet MS" w:cs="Arial-BoldMT"/>
          <w:b w:val="0"/>
          <w:bCs/>
          <w:sz w:val="22"/>
          <w:szCs w:val="22"/>
          <w:lang w:eastAsia="en-GB"/>
        </w:rPr>
        <w:t>Existing and Proposed Block Plan</w:t>
      </w:r>
    </w:p>
    <w:p w:rsidR="00074FF3" w:rsidRPr="009B56DF" w:rsidRDefault="009B56DF" w:rsidP="009B56DF">
      <w:pPr>
        <w:pStyle w:val="BodyText"/>
        <w:ind w:left="1440" w:hanging="720"/>
        <w:jc w:val="both"/>
        <w:rPr>
          <w:rFonts w:ascii="Trebuchet MS" w:eastAsia="Arial-BoldMT" w:hAnsi="Trebuchet MS" w:cs="Arial-BoldMT"/>
          <w:b w:val="0"/>
          <w:bCs/>
          <w:sz w:val="22"/>
          <w:szCs w:val="22"/>
          <w:lang w:eastAsia="en-GB"/>
        </w:rPr>
      </w:pPr>
      <w:r w:rsidRPr="009B56DF">
        <w:rPr>
          <w:rFonts w:ascii="Trebuchet MS" w:eastAsia="Arial-BoldMT" w:hAnsi="Trebuchet MS" w:cs="Arial-BoldMT"/>
          <w:b w:val="0"/>
          <w:bCs/>
          <w:sz w:val="22"/>
          <w:szCs w:val="22"/>
          <w:lang w:eastAsia="en-GB"/>
        </w:rPr>
        <w:t>PL-05 – Existing Plans</w:t>
      </w:r>
    </w:p>
    <w:p w:rsidR="009B56DF" w:rsidRPr="009B56DF" w:rsidRDefault="009B56DF" w:rsidP="009B56DF">
      <w:pPr>
        <w:pStyle w:val="BodyText"/>
        <w:ind w:left="1440" w:hanging="720"/>
        <w:jc w:val="both"/>
        <w:rPr>
          <w:rFonts w:ascii="Trebuchet MS" w:eastAsia="Arial-BoldMT" w:hAnsi="Trebuchet MS" w:cs="Arial-BoldMT"/>
          <w:b w:val="0"/>
          <w:bCs/>
          <w:sz w:val="22"/>
          <w:szCs w:val="22"/>
          <w:lang w:eastAsia="en-GB"/>
        </w:rPr>
      </w:pPr>
      <w:r w:rsidRPr="009B56DF">
        <w:rPr>
          <w:rFonts w:ascii="Trebuchet MS" w:eastAsia="Arial-BoldMT" w:hAnsi="Trebuchet MS" w:cs="Arial-BoldMT"/>
          <w:b w:val="0"/>
          <w:bCs/>
          <w:sz w:val="22"/>
          <w:szCs w:val="22"/>
          <w:lang w:eastAsia="en-GB"/>
        </w:rPr>
        <w:t>PL-06 – Existing Elevations</w:t>
      </w:r>
    </w:p>
    <w:p w:rsidR="009B56DF" w:rsidRPr="009B56DF" w:rsidRDefault="009B56DF" w:rsidP="009B56DF">
      <w:pPr>
        <w:pStyle w:val="BodyText"/>
        <w:ind w:left="1440" w:hanging="720"/>
        <w:jc w:val="both"/>
        <w:rPr>
          <w:rFonts w:ascii="Trebuchet MS" w:eastAsia="Arial-BoldMT" w:hAnsi="Trebuchet MS" w:cs="Arial-BoldMT"/>
          <w:b w:val="0"/>
          <w:bCs/>
          <w:sz w:val="22"/>
          <w:szCs w:val="22"/>
          <w:lang w:eastAsia="en-GB"/>
        </w:rPr>
      </w:pPr>
      <w:r w:rsidRPr="009B56DF">
        <w:rPr>
          <w:rFonts w:ascii="Trebuchet MS" w:eastAsia="Arial-BoldMT" w:hAnsi="Trebuchet MS" w:cs="Arial-BoldMT"/>
          <w:b w:val="0"/>
          <w:bCs/>
          <w:sz w:val="22"/>
          <w:szCs w:val="22"/>
          <w:lang w:eastAsia="en-GB"/>
        </w:rPr>
        <w:t>PL-07 – Proposed Plans</w:t>
      </w:r>
    </w:p>
    <w:p w:rsidR="009B56DF" w:rsidRDefault="009B56DF" w:rsidP="009B56DF">
      <w:pPr>
        <w:ind w:left="720"/>
        <w:jc w:val="both"/>
        <w:rPr>
          <w:rFonts w:eastAsia="Arial-BoldMT" w:cs="Arial-BoldMT"/>
          <w:bCs/>
          <w:sz w:val="22"/>
          <w:szCs w:val="22"/>
          <w:lang w:eastAsia="en-GB"/>
        </w:rPr>
      </w:pPr>
      <w:r w:rsidRPr="009B56DF">
        <w:rPr>
          <w:rFonts w:eastAsia="Arial-BoldMT" w:cs="Arial-BoldMT"/>
          <w:bCs/>
          <w:sz w:val="22"/>
          <w:szCs w:val="22"/>
          <w:lang w:eastAsia="en-GB"/>
        </w:rPr>
        <w:t>PL-08 Rev A – Proposed Elevations</w:t>
      </w:r>
    </w:p>
    <w:p w:rsidR="009B56DF" w:rsidRPr="004D4304" w:rsidRDefault="009B56DF" w:rsidP="009B56DF">
      <w:pPr>
        <w:ind w:left="720"/>
        <w:jc w:val="both"/>
        <w:rPr>
          <w:bCs/>
          <w:sz w:val="22"/>
          <w:szCs w:val="22"/>
        </w:rPr>
      </w:pPr>
      <w:r>
        <w:rPr>
          <w:rFonts w:eastAsia="Arial-BoldMT" w:cs="Arial-BoldMT"/>
          <w:bCs/>
          <w:sz w:val="22"/>
          <w:szCs w:val="22"/>
          <w:lang w:eastAsia="en-GB"/>
        </w:rPr>
        <w:t>PL-09- Proposed Sections</w:t>
      </w:r>
    </w:p>
    <w:p w:rsidR="00074FF3" w:rsidRPr="00FF3B1B" w:rsidRDefault="00074FF3" w:rsidP="00074FF3">
      <w:pPr>
        <w:jc w:val="both"/>
        <w:rPr>
          <w:b/>
          <w:bCs/>
          <w:sz w:val="22"/>
          <w:szCs w:val="22"/>
        </w:rPr>
      </w:pPr>
    </w:p>
    <w:p w:rsidR="00074FF3" w:rsidRPr="00FF3B1B" w:rsidRDefault="00074FF3">
      <w:pPr>
        <w:jc w:val="both"/>
        <w:rPr>
          <w:b/>
          <w:bCs/>
          <w:sz w:val="22"/>
          <w:szCs w:val="22"/>
        </w:rPr>
      </w:pPr>
      <w:r w:rsidRPr="00FF3B1B">
        <w:rPr>
          <w:b/>
          <w:bCs/>
          <w:sz w:val="22"/>
          <w:szCs w:val="22"/>
        </w:rPr>
        <w:tab/>
        <w:t>CONSULTATIONS</w:t>
      </w:r>
    </w:p>
    <w:p w:rsidR="00074FF3" w:rsidRPr="00FF3B1B" w:rsidRDefault="00074FF3">
      <w:pPr>
        <w:jc w:val="both"/>
        <w:rPr>
          <w:b/>
          <w:bCs/>
          <w:sz w:val="22"/>
          <w:szCs w:val="22"/>
        </w:rPr>
      </w:pPr>
    </w:p>
    <w:p w:rsidR="00074FF3" w:rsidRDefault="00074FF3">
      <w:pPr>
        <w:jc w:val="both"/>
        <w:rPr>
          <w:sz w:val="22"/>
          <w:szCs w:val="22"/>
        </w:rPr>
      </w:pPr>
      <w:r w:rsidRPr="00FF3B1B">
        <w:rPr>
          <w:b/>
          <w:sz w:val="22"/>
          <w:szCs w:val="22"/>
        </w:rPr>
        <w:tab/>
      </w:r>
      <w:r w:rsidRPr="00FF3B1B">
        <w:rPr>
          <w:sz w:val="22"/>
          <w:szCs w:val="22"/>
        </w:rPr>
        <w:t>The following addresses were consulted by letter.</w:t>
      </w:r>
    </w:p>
    <w:p w:rsidR="00074FF3" w:rsidRPr="00FF3B1B" w:rsidRDefault="00074FF3">
      <w:pPr>
        <w:jc w:val="both"/>
        <w:rPr>
          <w:b/>
          <w:sz w:val="22"/>
          <w:szCs w:val="22"/>
        </w:rPr>
      </w:pPr>
    </w:p>
    <w:p w:rsidR="00074FF3" w:rsidRPr="00FF3B1B" w:rsidRDefault="00074FF3" w:rsidP="00074FF3">
      <w:pPr>
        <w:ind w:firstLine="720"/>
        <w:rPr>
          <w:sz w:val="22"/>
          <w:szCs w:val="22"/>
        </w:rPr>
      </w:pPr>
      <w:r w:rsidRPr="00FF3B1B">
        <w:rPr>
          <w:sz w:val="22"/>
          <w:szCs w:val="22"/>
        </w:rPr>
        <w:t>3 Kings Road, Caversham, Reading, RG4 8DS</w:t>
      </w:r>
    </w:p>
    <w:p w:rsidR="00074FF3" w:rsidRPr="00FF3B1B" w:rsidRDefault="00074FF3" w:rsidP="00074FF3">
      <w:pPr>
        <w:ind w:firstLine="720"/>
        <w:rPr>
          <w:sz w:val="22"/>
          <w:szCs w:val="22"/>
        </w:rPr>
      </w:pPr>
      <w:r>
        <w:rPr>
          <w:sz w:val="22"/>
          <w:szCs w:val="22"/>
        </w:rPr>
        <w:t>7 Kings Road, Caversham, Reading, RG4 8DS</w:t>
      </w:r>
    </w:p>
    <w:p w:rsidR="00074FF3" w:rsidRPr="00FF3B1B" w:rsidRDefault="00074FF3" w:rsidP="00074FF3">
      <w:pPr>
        <w:ind w:firstLine="720"/>
        <w:rPr>
          <w:sz w:val="22"/>
          <w:szCs w:val="22"/>
        </w:rPr>
      </w:pPr>
      <w:r w:rsidRPr="00FF3B1B">
        <w:rPr>
          <w:sz w:val="22"/>
          <w:szCs w:val="22"/>
        </w:rPr>
        <w:t>Flat 3, 9 George Street, Caversham, Reading, RG4 8DH</w:t>
      </w:r>
    </w:p>
    <w:p w:rsidR="00074FF3" w:rsidRPr="00FF3B1B" w:rsidRDefault="00074FF3" w:rsidP="00074FF3">
      <w:pPr>
        <w:ind w:firstLine="720"/>
        <w:rPr>
          <w:sz w:val="22"/>
          <w:szCs w:val="22"/>
        </w:rPr>
      </w:pPr>
      <w:r w:rsidRPr="00FF3B1B">
        <w:rPr>
          <w:sz w:val="22"/>
          <w:szCs w:val="22"/>
        </w:rPr>
        <w:t>Flat 2, 9 George Street, Caversham, Reading, RG4 8DH</w:t>
      </w:r>
    </w:p>
    <w:p w:rsidR="00074FF3" w:rsidRDefault="00074FF3" w:rsidP="00074FF3">
      <w:pPr>
        <w:ind w:firstLine="720"/>
        <w:rPr>
          <w:sz w:val="22"/>
          <w:szCs w:val="22"/>
        </w:rPr>
      </w:pPr>
      <w:r w:rsidRPr="00FF3B1B">
        <w:rPr>
          <w:sz w:val="22"/>
          <w:szCs w:val="22"/>
        </w:rPr>
        <w:t>Flat 1, 9 George Street, Caversham, Reading, RG4 8DH</w:t>
      </w:r>
    </w:p>
    <w:p w:rsidR="00074FF3" w:rsidRPr="00FF3B1B" w:rsidRDefault="00074FF3" w:rsidP="00074FF3">
      <w:pPr>
        <w:ind w:firstLine="720"/>
        <w:rPr>
          <w:sz w:val="22"/>
          <w:szCs w:val="22"/>
        </w:rPr>
      </w:pPr>
      <w:r>
        <w:rPr>
          <w:sz w:val="22"/>
          <w:szCs w:val="22"/>
        </w:rPr>
        <w:t>2 Queens Road, Caversham, Reading, RG4 8DL</w:t>
      </w:r>
    </w:p>
    <w:p w:rsidR="00074FF3" w:rsidRPr="00FF3B1B" w:rsidRDefault="00074FF3">
      <w:pPr>
        <w:ind w:left="720" w:hanging="720"/>
        <w:jc w:val="both"/>
        <w:rPr>
          <w:sz w:val="22"/>
          <w:szCs w:val="22"/>
        </w:rPr>
      </w:pPr>
    </w:p>
    <w:p w:rsidR="00074FF3" w:rsidRDefault="00074FF3" w:rsidP="004A4E9E">
      <w:pPr>
        <w:ind w:left="720" w:hanging="720"/>
        <w:jc w:val="both"/>
        <w:rPr>
          <w:sz w:val="22"/>
          <w:szCs w:val="22"/>
        </w:rPr>
      </w:pPr>
      <w:r w:rsidRPr="00FF3B1B">
        <w:rPr>
          <w:sz w:val="22"/>
          <w:szCs w:val="22"/>
        </w:rPr>
        <w:tab/>
      </w:r>
      <w:r>
        <w:rPr>
          <w:sz w:val="22"/>
          <w:szCs w:val="22"/>
        </w:rPr>
        <w:t>No l</w:t>
      </w:r>
      <w:r w:rsidRPr="00FF3B1B">
        <w:rPr>
          <w:sz w:val="22"/>
          <w:szCs w:val="22"/>
        </w:rPr>
        <w:t>etters of representation have been received</w:t>
      </w:r>
      <w:r w:rsidR="004A4E9E">
        <w:rPr>
          <w:sz w:val="22"/>
          <w:szCs w:val="22"/>
        </w:rPr>
        <w:t>.</w:t>
      </w:r>
    </w:p>
    <w:p w:rsidR="00074FF3" w:rsidRDefault="00074FF3" w:rsidP="00074FF3">
      <w:pPr>
        <w:jc w:val="both"/>
        <w:rPr>
          <w:sz w:val="22"/>
          <w:szCs w:val="22"/>
        </w:rPr>
      </w:pPr>
    </w:p>
    <w:p w:rsidR="00074FF3" w:rsidRPr="002B4A87" w:rsidRDefault="00074FF3" w:rsidP="00074FF3">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rsidR="00074FF3" w:rsidRDefault="00074FF3" w:rsidP="00074FF3">
      <w:pPr>
        <w:overflowPunct/>
        <w:adjustRightInd/>
        <w:ind w:left="720"/>
        <w:jc w:val="both"/>
        <w:textAlignment w:val="auto"/>
        <w:rPr>
          <w:rFonts w:cs="Arial"/>
          <w:bCs/>
          <w:color w:val="000000"/>
          <w:szCs w:val="24"/>
          <w:lang w:eastAsia="en-GB"/>
        </w:rPr>
      </w:pPr>
      <w:r w:rsidRPr="002B4A87">
        <w:rPr>
          <w:rFonts w:cs="Arial"/>
          <w:bCs/>
          <w:color w:val="000000"/>
          <w:szCs w:val="24"/>
          <w:lang w:eastAsia="en-GB"/>
        </w:rPr>
        <w:t xml:space="preserve">In determining this application the Council is required to have regard to its obligations under the Equality Act 2010. However, there is no indication or evidence (including from consultation on the application) that the protected groups </w:t>
      </w:r>
      <w:r w:rsidRPr="002B4A87">
        <w:rPr>
          <w:rFonts w:cs="Arial"/>
          <w:bCs/>
          <w:color w:val="000000"/>
          <w:szCs w:val="24"/>
          <w:lang w:eastAsia="en-GB"/>
        </w:rPr>
        <w:lastRenderedPageBreak/>
        <w:t>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4E9E" w:rsidRDefault="004A4E9E" w:rsidP="00074FF3">
      <w:pPr>
        <w:overflowPunct/>
        <w:adjustRightInd/>
        <w:ind w:left="720"/>
        <w:jc w:val="both"/>
        <w:textAlignment w:val="auto"/>
        <w:rPr>
          <w:rFonts w:cs="Arial"/>
          <w:bCs/>
          <w:color w:val="000000"/>
          <w:szCs w:val="24"/>
          <w:lang w:eastAsia="en-GB"/>
        </w:rPr>
      </w:pPr>
    </w:p>
    <w:p w:rsidR="004A4E9E" w:rsidRPr="00A55F3D" w:rsidRDefault="004A4E9E" w:rsidP="004A4E9E">
      <w:pPr>
        <w:overflowPunct/>
        <w:ind w:left="720"/>
        <w:textAlignment w:val="auto"/>
        <w:rPr>
          <w:rFonts w:cs="Trebuchet MS"/>
          <w:color w:val="000000"/>
          <w:sz w:val="22"/>
          <w:szCs w:val="22"/>
          <w:lang w:eastAsia="en-GB"/>
        </w:rPr>
      </w:pPr>
      <w:r w:rsidRPr="00A55F3D">
        <w:rPr>
          <w:rFonts w:cs="Trebuchet MS"/>
          <w:b/>
          <w:bCs/>
          <w:color w:val="000000"/>
          <w:sz w:val="22"/>
          <w:szCs w:val="22"/>
          <w:lang w:eastAsia="en-GB"/>
        </w:rPr>
        <w:t xml:space="preserve">Relevant Planning Policy and Guidance </w:t>
      </w:r>
    </w:p>
    <w:p w:rsidR="004A4E9E" w:rsidRPr="00A55F3D" w:rsidRDefault="004A4E9E" w:rsidP="004A4E9E">
      <w:pPr>
        <w:overflowPunct/>
        <w:ind w:left="720"/>
        <w:textAlignment w:val="auto"/>
        <w:rPr>
          <w:rFonts w:cs="Trebuchet MS"/>
          <w:color w:val="000000"/>
          <w:sz w:val="22"/>
          <w:szCs w:val="22"/>
          <w:lang w:eastAsia="en-GB"/>
        </w:rPr>
      </w:pPr>
      <w:r w:rsidRPr="00A55F3D">
        <w:rPr>
          <w:rFonts w:cs="Trebuchet MS"/>
          <w:color w:val="000000"/>
          <w:sz w:val="22"/>
          <w:szCs w:val="22"/>
          <w:lang w:eastAsia="en-GB"/>
        </w:rPr>
        <w:t xml:space="preserve">National Planning Practice Guidance </w:t>
      </w:r>
    </w:p>
    <w:p w:rsidR="004A4E9E" w:rsidRPr="00A55F3D" w:rsidRDefault="004A4E9E" w:rsidP="004A4E9E">
      <w:pPr>
        <w:overflowPunct/>
        <w:ind w:left="720"/>
        <w:textAlignment w:val="auto"/>
        <w:rPr>
          <w:rFonts w:cs="Trebuchet MS"/>
          <w:color w:val="000000"/>
          <w:sz w:val="22"/>
          <w:szCs w:val="22"/>
          <w:lang w:eastAsia="en-GB"/>
        </w:rPr>
      </w:pPr>
      <w:r w:rsidRPr="00A55F3D">
        <w:rPr>
          <w:rFonts w:cs="Trebuchet MS"/>
          <w:color w:val="000000"/>
          <w:sz w:val="22"/>
          <w:szCs w:val="22"/>
          <w:lang w:eastAsia="en-GB"/>
        </w:rPr>
        <w:t xml:space="preserve">The Town and Country Planning (General Permitted Development) (England) Order 2015 (GPDO) </w:t>
      </w:r>
    </w:p>
    <w:p w:rsidR="004A4E9E" w:rsidRPr="00A55F3D" w:rsidRDefault="004A4E9E" w:rsidP="004A4E9E">
      <w:pPr>
        <w:overflowPunct/>
        <w:ind w:left="720"/>
        <w:textAlignment w:val="auto"/>
        <w:rPr>
          <w:rFonts w:cs="Trebuchet MS"/>
          <w:color w:val="000000"/>
          <w:sz w:val="22"/>
          <w:szCs w:val="22"/>
          <w:lang w:eastAsia="en-GB"/>
        </w:rPr>
      </w:pPr>
      <w:r w:rsidRPr="00A55F3D">
        <w:rPr>
          <w:rFonts w:cs="Trebuchet MS"/>
          <w:color w:val="000000"/>
          <w:sz w:val="22"/>
          <w:szCs w:val="22"/>
          <w:lang w:eastAsia="en-GB"/>
        </w:rPr>
        <w:t>Permitted development rights for householders – Technical Guidance September 2019</w:t>
      </w:r>
    </w:p>
    <w:p w:rsidR="004A4E9E" w:rsidRPr="002B4A87" w:rsidRDefault="004A4E9E" w:rsidP="00074FF3">
      <w:pPr>
        <w:overflowPunct/>
        <w:adjustRightInd/>
        <w:ind w:left="720"/>
        <w:jc w:val="both"/>
        <w:textAlignment w:val="auto"/>
        <w:rPr>
          <w:rFonts w:cs="Arial"/>
          <w:bCs/>
          <w:color w:val="000000"/>
          <w:szCs w:val="24"/>
          <w:lang w:eastAsia="en-GB"/>
        </w:rPr>
      </w:pPr>
    </w:p>
    <w:p w:rsidR="00074FF3" w:rsidRPr="00FF3B1B" w:rsidRDefault="00074FF3" w:rsidP="00074FF3">
      <w:pPr>
        <w:ind w:left="1440" w:hanging="720"/>
        <w:jc w:val="both"/>
        <w:rPr>
          <w:sz w:val="22"/>
          <w:szCs w:val="22"/>
        </w:rPr>
      </w:pPr>
    </w:p>
    <w:p w:rsidR="00074FF3" w:rsidRPr="00074FF3" w:rsidRDefault="00074FF3" w:rsidP="00074FF3">
      <w:pPr>
        <w:keepNext/>
        <w:ind w:left="720"/>
        <w:contextualSpacing/>
        <w:jc w:val="both"/>
        <w:textAlignment w:val="auto"/>
        <w:outlineLvl w:val="1"/>
        <w:rPr>
          <w:b/>
          <w:color w:val="000000"/>
          <w:sz w:val="22"/>
          <w:szCs w:val="22"/>
        </w:rPr>
      </w:pPr>
      <w:r w:rsidRPr="00074FF3">
        <w:rPr>
          <w:b/>
          <w:color w:val="000000"/>
          <w:sz w:val="22"/>
          <w:szCs w:val="22"/>
        </w:rPr>
        <w:t>Assessment:</w:t>
      </w:r>
    </w:p>
    <w:p w:rsidR="00074FF3" w:rsidRPr="00074FF3" w:rsidRDefault="00074FF3" w:rsidP="00074FF3">
      <w:pPr>
        <w:overflowPunct/>
        <w:autoSpaceDE/>
        <w:autoSpaceDN/>
        <w:adjustRightInd/>
        <w:ind w:left="720"/>
        <w:jc w:val="both"/>
        <w:textAlignment w:val="auto"/>
        <w:rPr>
          <w:bCs/>
          <w:color w:val="000000"/>
          <w:sz w:val="22"/>
          <w:szCs w:val="22"/>
        </w:rPr>
      </w:pPr>
      <w:r w:rsidRPr="00074FF3">
        <w:rPr>
          <w:bCs/>
          <w:color w:val="000000"/>
          <w:sz w:val="22"/>
          <w:szCs w:val="22"/>
        </w:rPr>
        <w:t xml:space="preserve">A Certificate of Lawfulness for a Proposed Development has been submitted as the applicant considers the proposal falls within the permitted development rights of the property.  </w:t>
      </w:r>
    </w:p>
    <w:p w:rsidR="00074FF3" w:rsidRPr="00074FF3" w:rsidRDefault="00074FF3" w:rsidP="00074FF3">
      <w:pPr>
        <w:overflowPunct/>
        <w:autoSpaceDE/>
        <w:autoSpaceDN/>
        <w:adjustRightInd/>
        <w:ind w:left="720"/>
        <w:jc w:val="both"/>
        <w:textAlignment w:val="auto"/>
        <w:rPr>
          <w:bCs/>
          <w:color w:val="000000"/>
          <w:sz w:val="22"/>
          <w:szCs w:val="22"/>
        </w:rPr>
      </w:pPr>
    </w:p>
    <w:p w:rsidR="00074FF3" w:rsidRPr="00074FF3" w:rsidRDefault="00074FF3" w:rsidP="00074FF3">
      <w:pPr>
        <w:overflowPunct/>
        <w:autoSpaceDE/>
        <w:autoSpaceDN/>
        <w:adjustRightInd/>
        <w:ind w:left="720"/>
        <w:jc w:val="both"/>
        <w:textAlignment w:val="auto"/>
        <w:rPr>
          <w:bCs/>
          <w:sz w:val="22"/>
          <w:szCs w:val="22"/>
        </w:rPr>
      </w:pPr>
      <w:r w:rsidRPr="00074FF3">
        <w:rPr>
          <w:bCs/>
          <w:color w:val="000000"/>
          <w:sz w:val="22"/>
          <w:szCs w:val="22"/>
        </w:rPr>
        <w:t>The proposal must be assessed to ensure that it complies with the conditions Class A, Part 1, Schedule 2 of the Town and Country Planning (General Permitted Development) (England) Order 2015 (as amended), which relates to ‘</w:t>
      </w:r>
      <w:r w:rsidRPr="00074FF3">
        <w:rPr>
          <w:bCs/>
          <w:sz w:val="22"/>
          <w:szCs w:val="22"/>
        </w:rPr>
        <w:t xml:space="preserve">The enlargement, improvement or other alteration of a dwellinghouse’. </w:t>
      </w:r>
    </w:p>
    <w:p w:rsidR="00074FF3" w:rsidRPr="00074FF3" w:rsidRDefault="00074FF3" w:rsidP="00074FF3">
      <w:pPr>
        <w:overflowPunct/>
        <w:autoSpaceDE/>
        <w:autoSpaceDN/>
        <w:adjustRightInd/>
        <w:ind w:left="720"/>
        <w:jc w:val="both"/>
        <w:textAlignment w:val="auto"/>
        <w:rPr>
          <w:bCs/>
          <w:sz w:val="22"/>
          <w:szCs w:val="22"/>
        </w:rPr>
      </w:pPr>
    </w:p>
    <w:p w:rsidR="00074FF3" w:rsidRPr="00074FF3" w:rsidRDefault="00074FF3" w:rsidP="00074FF3">
      <w:pPr>
        <w:ind w:left="720"/>
        <w:jc w:val="both"/>
        <w:textAlignment w:val="auto"/>
        <w:rPr>
          <w:bCs/>
          <w:color w:val="000000"/>
          <w:sz w:val="22"/>
          <w:szCs w:val="22"/>
        </w:rPr>
      </w:pPr>
      <w:r w:rsidRPr="00074FF3">
        <w:rPr>
          <w:bCs/>
          <w:color w:val="000000"/>
          <w:sz w:val="22"/>
          <w:szCs w:val="22"/>
        </w:rPr>
        <w:t>A.1 Development is not permitted by Class A if:</w:t>
      </w:r>
    </w:p>
    <w:p w:rsidR="00074FF3" w:rsidRPr="00074FF3" w:rsidRDefault="00074FF3" w:rsidP="00074FF3">
      <w:pPr>
        <w:ind w:left="720"/>
        <w:jc w:val="both"/>
        <w:textAlignment w:val="auto"/>
        <w:rPr>
          <w:bCs/>
          <w:color w:val="000000"/>
          <w:sz w:val="22"/>
          <w:szCs w:val="22"/>
        </w:rPr>
      </w:pPr>
    </w:p>
    <w:p w:rsidR="00074FF3" w:rsidRPr="00074FF3" w:rsidRDefault="00074FF3" w:rsidP="00074FF3">
      <w:pPr>
        <w:overflowPunct/>
        <w:autoSpaceDE/>
        <w:autoSpaceDN/>
        <w:adjustRightInd/>
        <w:spacing w:after="200"/>
        <w:ind w:left="720"/>
        <w:jc w:val="both"/>
        <w:textAlignment w:val="auto"/>
        <w:rPr>
          <w:b/>
          <w:color w:val="000000"/>
          <w:sz w:val="22"/>
          <w:szCs w:val="22"/>
        </w:rPr>
      </w:pPr>
      <w:r w:rsidRPr="00074FF3">
        <w:rPr>
          <w:color w:val="000000"/>
          <w:sz w:val="22"/>
          <w:szCs w:val="22"/>
        </w:rPr>
        <w:t>A.1 (a) permission to use the dwellinghouse as a dwellinghouse has been granted only by virtue of Class M, N, P or Q of Part 3 of this Schedule (changes of use)</w:t>
      </w:r>
      <w:r w:rsidR="00095ED1">
        <w:rPr>
          <w:color w:val="000000"/>
          <w:sz w:val="22"/>
          <w:szCs w:val="22"/>
        </w:rPr>
        <w:t xml:space="preserve"> - </w:t>
      </w:r>
      <w:r w:rsidR="00095ED1" w:rsidRPr="00A55F3D">
        <w:rPr>
          <w:b/>
          <w:color w:val="000000"/>
          <w:sz w:val="22"/>
          <w:szCs w:val="22"/>
        </w:rPr>
        <w:t>complies</w:t>
      </w:r>
    </w:p>
    <w:p w:rsidR="00074FF3" w:rsidRPr="00074FF3" w:rsidRDefault="00074FF3" w:rsidP="00074FF3">
      <w:pPr>
        <w:overflowPunct/>
        <w:autoSpaceDE/>
        <w:autoSpaceDN/>
        <w:adjustRightInd/>
        <w:spacing w:after="200"/>
        <w:ind w:left="720"/>
        <w:jc w:val="both"/>
        <w:textAlignment w:val="auto"/>
        <w:rPr>
          <w:b/>
          <w:color w:val="000000"/>
          <w:sz w:val="22"/>
          <w:szCs w:val="22"/>
        </w:rPr>
      </w:pPr>
      <w:r w:rsidRPr="00074FF3">
        <w:rPr>
          <w:color w:val="000000"/>
          <w:sz w:val="22"/>
          <w:szCs w:val="22"/>
        </w:rPr>
        <w:t>A.1 (b) as a result of the works, the total area of ground covered by buildings within the curtilage of the dwellinghouse (other than the original dwellinghouse) would exceed 50% of the total area of the curtilage (excluding the ground area of the original dwellinghouse)</w:t>
      </w:r>
      <w:r w:rsidR="00095ED1">
        <w:rPr>
          <w:color w:val="000000"/>
          <w:sz w:val="22"/>
          <w:szCs w:val="22"/>
        </w:rPr>
        <w:t xml:space="preserve"> - </w:t>
      </w:r>
      <w:r w:rsidR="00095ED1" w:rsidRPr="00A55F3D">
        <w:rPr>
          <w:b/>
          <w:color w:val="000000"/>
          <w:sz w:val="22"/>
          <w:szCs w:val="22"/>
        </w:rPr>
        <w:t>complies</w:t>
      </w:r>
    </w:p>
    <w:p w:rsidR="00074FF3" w:rsidRPr="00074FF3" w:rsidRDefault="00074FF3" w:rsidP="00074FF3">
      <w:pPr>
        <w:overflowPunct/>
        <w:autoSpaceDE/>
        <w:autoSpaceDN/>
        <w:adjustRightInd/>
        <w:spacing w:after="200"/>
        <w:ind w:left="720"/>
        <w:jc w:val="both"/>
        <w:textAlignment w:val="auto"/>
        <w:rPr>
          <w:b/>
          <w:color w:val="000000"/>
          <w:sz w:val="22"/>
          <w:szCs w:val="22"/>
        </w:rPr>
      </w:pPr>
      <w:r w:rsidRPr="00074FF3">
        <w:rPr>
          <w:color w:val="000000"/>
          <w:sz w:val="22"/>
          <w:szCs w:val="22"/>
        </w:rPr>
        <w:t>A.1 (c) the height of the part of the dwellinghouse enlarged, improved or altered would exceed the height of the highest part of the roof of the existing dwellinghouse</w:t>
      </w:r>
      <w:r w:rsidR="00095ED1">
        <w:rPr>
          <w:color w:val="000000"/>
          <w:sz w:val="22"/>
          <w:szCs w:val="22"/>
        </w:rPr>
        <w:t xml:space="preserve"> - </w:t>
      </w:r>
      <w:r w:rsidR="00095ED1" w:rsidRPr="00A55F3D">
        <w:rPr>
          <w:b/>
          <w:color w:val="000000"/>
          <w:sz w:val="22"/>
          <w:szCs w:val="22"/>
        </w:rPr>
        <w:t>complies</w:t>
      </w:r>
    </w:p>
    <w:p w:rsidR="00074FF3" w:rsidRPr="00074FF3" w:rsidRDefault="00074FF3" w:rsidP="00074FF3">
      <w:pPr>
        <w:overflowPunct/>
        <w:autoSpaceDE/>
        <w:autoSpaceDN/>
        <w:adjustRightInd/>
        <w:spacing w:after="200"/>
        <w:ind w:left="720"/>
        <w:jc w:val="both"/>
        <w:textAlignment w:val="auto"/>
        <w:rPr>
          <w:color w:val="000000"/>
          <w:sz w:val="22"/>
          <w:szCs w:val="22"/>
        </w:rPr>
      </w:pPr>
      <w:r w:rsidRPr="00074FF3">
        <w:rPr>
          <w:color w:val="000000"/>
          <w:sz w:val="22"/>
          <w:szCs w:val="22"/>
        </w:rPr>
        <w:t>A.1 (d) the height of the eaves of the part of the dwellinghouse enlarged, improved or altered would exceed the height of the eaves of the existing dwellinghouse</w:t>
      </w:r>
      <w:r w:rsidR="00095ED1">
        <w:rPr>
          <w:color w:val="000000"/>
          <w:sz w:val="22"/>
          <w:szCs w:val="22"/>
        </w:rPr>
        <w:t xml:space="preserve"> - </w:t>
      </w:r>
      <w:r w:rsidR="00095ED1" w:rsidRPr="00A55F3D">
        <w:rPr>
          <w:b/>
          <w:color w:val="000000"/>
          <w:sz w:val="22"/>
          <w:szCs w:val="22"/>
        </w:rPr>
        <w:t>complies</w:t>
      </w:r>
    </w:p>
    <w:p w:rsidR="00074FF3" w:rsidRPr="00074FF3" w:rsidRDefault="00074FF3" w:rsidP="00074FF3">
      <w:pPr>
        <w:overflowPunct/>
        <w:autoSpaceDE/>
        <w:autoSpaceDN/>
        <w:adjustRightInd/>
        <w:spacing w:after="200"/>
        <w:ind w:left="720"/>
        <w:jc w:val="both"/>
        <w:textAlignment w:val="auto"/>
        <w:rPr>
          <w:b/>
          <w:color w:val="000000"/>
          <w:sz w:val="22"/>
          <w:szCs w:val="22"/>
        </w:rPr>
      </w:pPr>
      <w:r w:rsidRPr="00074FF3">
        <w:rPr>
          <w:color w:val="000000"/>
          <w:sz w:val="22"/>
          <w:szCs w:val="22"/>
        </w:rPr>
        <w:t>A.1 (e) the enlarged part of the dwellinghouse would extend beyond a wall which (i) forms the principal elevation of the original dwellinghouse; or (ii) fronts a highway and forms a side elevation of the original dwellinghouse</w:t>
      </w:r>
      <w:r w:rsidR="00095ED1">
        <w:rPr>
          <w:color w:val="000000"/>
          <w:sz w:val="22"/>
          <w:szCs w:val="22"/>
        </w:rPr>
        <w:t xml:space="preserve"> - </w:t>
      </w:r>
      <w:r w:rsidR="00095ED1" w:rsidRPr="00A55F3D">
        <w:rPr>
          <w:b/>
          <w:color w:val="000000"/>
          <w:sz w:val="22"/>
          <w:szCs w:val="22"/>
        </w:rPr>
        <w:t>complies</w:t>
      </w:r>
    </w:p>
    <w:p w:rsidR="00074FF3" w:rsidRPr="00074FF3" w:rsidRDefault="00074FF3" w:rsidP="00074FF3">
      <w:pPr>
        <w:overflowPunct/>
        <w:autoSpaceDE/>
        <w:autoSpaceDN/>
        <w:adjustRightInd/>
        <w:spacing w:after="200"/>
        <w:ind w:left="720"/>
        <w:jc w:val="both"/>
        <w:textAlignment w:val="auto"/>
        <w:rPr>
          <w:b/>
          <w:color w:val="000000"/>
          <w:sz w:val="22"/>
          <w:szCs w:val="22"/>
        </w:rPr>
      </w:pPr>
      <w:r w:rsidRPr="00074FF3">
        <w:rPr>
          <w:color w:val="000000"/>
          <w:sz w:val="22"/>
          <w:szCs w:val="22"/>
        </w:rPr>
        <w:t>A.1 (f) subject to paragraph (g), the enlarged part of the dwellinghouse would have a single storey and – (i) extend beyond the rear wall of the original dwellinghouse by more than 4 metres in the case of a detached dwellinghouse, or 3 metres in the case of any other dwellinghouse, (ii) exceed 4 metres in height</w:t>
      </w:r>
      <w:r w:rsidR="00095ED1">
        <w:rPr>
          <w:color w:val="000000"/>
          <w:sz w:val="22"/>
          <w:szCs w:val="22"/>
        </w:rPr>
        <w:t xml:space="preserve"> </w:t>
      </w:r>
      <w:r w:rsidR="00095ED1" w:rsidRPr="00095ED1">
        <w:rPr>
          <w:b/>
          <w:color w:val="000000"/>
          <w:sz w:val="22"/>
          <w:szCs w:val="22"/>
        </w:rPr>
        <w:t>N/A</w:t>
      </w:r>
    </w:p>
    <w:p w:rsidR="00074FF3" w:rsidRPr="00074FF3" w:rsidRDefault="00074FF3" w:rsidP="00074FF3">
      <w:pPr>
        <w:overflowPunct/>
        <w:autoSpaceDE/>
        <w:autoSpaceDN/>
        <w:adjustRightInd/>
        <w:spacing w:after="200"/>
        <w:ind w:left="720"/>
        <w:jc w:val="both"/>
        <w:textAlignment w:val="auto"/>
        <w:rPr>
          <w:b/>
          <w:color w:val="000000"/>
          <w:sz w:val="22"/>
          <w:szCs w:val="22"/>
        </w:rPr>
      </w:pPr>
      <w:r w:rsidRPr="00074FF3">
        <w:rPr>
          <w:color w:val="000000"/>
          <w:sz w:val="22"/>
          <w:szCs w:val="22"/>
        </w:rPr>
        <w:t>A.1 (g) for a dwellinghouse not on article 2(3) land nor on a site of special scientific interest, the enlarged part of the dwellinghouse would have a single storey and – (i) extend beyond the rear wall of the original dwellinghouse by more than 8 metres in the case of a detached dwellinghouse, or 6 metres in the case of any other dwellinghouse,</w:t>
      </w:r>
      <w:r w:rsidRPr="00074FF3">
        <w:rPr>
          <w:b/>
          <w:color w:val="000000"/>
          <w:sz w:val="22"/>
          <w:szCs w:val="22"/>
        </w:rPr>
        <w:t xml:space="preserve"> </w:t>
      </w:r>
      <w:r w:rsidRPr="00074FF3">
        <w:rPr>
          <w:color w:val="000000"/>
          <w:sz w:val="22"/>
          <w:szCs w:val="22"/>
        </w:rPr>
        <w:t>or (ii) exceed 4 metres in height</w:t>
      </w:r>
      <w:r w:rsidR="00095ED1">
        <w:rPr>
          <w:color w:val="000000"/>
          <w:sz w:val="22"/>
          <w:szCs w:val="22"/>
        </w:rPr>
        <w:t xml:space="preserve"> - </w:t>
      </w:r>
      <w:r w:rsidR="00095ED1" w:rsidRPr="00A55F3D">
        <w:rPr>
          <w:b/>
          <w:color w:val="000000"/>
          <w:sz w:val="22"/>
          <w:szCs w:val="22"/>
        </w:rPr>
        <w:t>complies</w:t>
      </w:r>
      <w:r w:rsidRPr="00074FF3">
        <w:rPr>
          <w:color w:val="000000"/>
          <w:sz w:val="22"/>
          <w:szCs w:val="22"/>
        </w:rPr>
        <w:t xml:space="preserve"> </w:t>
      </w:r>
    </w:p>
    <w:p w:rsidR="00074FF3" w:rsidRPr="00074FF3" w:rsidRDefault="00074FF3" w:rsidP="00074FF3">
      <w:pPr>
        <w:overflowPunct/>
        <w:autoSpaceDE/>
        <w:autoSpaceDN/>
        <w:adjustRightInd/>
        <w:spacing w:after="200"/>
        <w:ind w:left="720"/>
        <w:jc w:val="both"/>
        <w:textAlignment w:val="auto"/>
        <w:rPr>
          <w:b/>
          <w:color w:val="000000"/>
          <w:sz w:val="22"/>
          <w:szCs w:val="22"/>
        </w:rPr>
      </w:pPr>
      <w:r w:rsidRPr="00074FF3">
        <w:rPr>
          <w:color w:val="000000"/>
          <w:sz w:val="22"/>
          <w:szCs w:val="22"/>
        </w:rPr>
        <w:t>A.1 (h) the enlarged part of the dwellinghouse would have more than a single storey and – (i) extend beyond the rear wall of the original dwellinghouse by more than 3 metres, or (ii) be within 7 metres of any boundary of the curtilage of the dwellinghouse opposite the rear wall of the dwellinghouse</w:t>
      </w:r>
      <w:r w:rsidR="00095ED1">
        <w:rPr>
          <w:color w:val="000000"/>
          <w:sz w:val="22"/>
          <w:szCs w:val="22"/>
        </w:rPr>
        <w:t xml:space="preserve"> </w:t>
      </w:r>
      <w:r w:rsidR="00095ED1" w:rsidRPr="00095ED1">
        <w:rPr>
          <w:b/>
          <w:color w:val="000000"/>
          <w:sz w:val="22"/>
          <w:szCs w:val="22"/>
        </w:rPr>
        <w:t>N/A</w:t>
      </w:r>
    </w:p>
    <w:p w:rsidR="00074FF3" w:rsidRPr="00074FF3" w:rsidRDefault="00074FF3" w:rsidP="00074FF3">
      <w:pPr>
        <w:overflowPunct/>
        <w:autoSpaceDE/>
        <w:autoSpaceDN/>
        <w:adjustRightInd/>
        <w:spacing w:after="200"/>
        <w:ind w:left="720"/>
        <w:jc w:val="both"/>
        <w:textAlignment w:val="auto"/>
        <w:rPr>
          <w:b/>
          <w:color w:val="000000"/>
          <w:sz w:val="22"/>
          <w:szCs w:val="22"/>
        </w:rPr>
      </w:pPr>
      <w:r w:rsidRPr="00074FF3">
        <w:rPr>
          <w:color w:val="000000"/>
          <w:sz w:val="22"/>
          <w:szCs w:val="22"/>
        </w:rPr>
        <w:lastRenderedPageBreak/>
        <w:t>A.1 (i) the enlarged part of the dwellinghouse would be within 2 metres of the boundary of the curtilage of the dwellinghouse, and the height of the eaves of the enlarged part would exceed 3 metres</w:t>
      </w:r>
      <w:r w:rsidR="00095ED1">
        <w:rPr>
          <w:color w:val="000000"/>
          <w:sz w:val="22"/>
          <w:szCs w:val="22"/>
        </w:rPr>
        <w:t xml:space="preserve"> </w:t>
      </w:r>
      <w:r w:rsidR="006135B2">
        <w:rPr>
          <w:color w:val="000000"/>
          <w:sz w:val="22"/>
          <w:szCs w:val="22"/>
        </w:rPr>
        <w:t>–</w:t>
      </w:r>
      <w:r w:rsidR="00095ED1">
        <w:rPr>
          <w:color w:val="000000"/>
          <w:sz w:val="22"/>
          <w:szCs w:val="22"/>
        </w:rPr>
        <w:t xml:space="preserve"> </w:t>
      </w:r>
      <w:r w:rsidR="00095ED1" w:rsidRPr="00A55F3D">
        <w:rPr>
          <w:b/>
          <w:color w:val="000000"/>
          <w:sz w:val="22"/>
          <w:szCs w:val="22"/>
        </w:rPr>
        <w:t>complies</w:t>
      </w:r>
      <w:r w:rsidR="006135B2">
        <w:rPr>
          <w:b/>
          <w:color w:val="000000"/>
          <w:sz w:val="22"/>
          <w:szCs w:val="22"/>
        </w:rPr>
        <w:t>, the eaves are at 2.8m height.</w:t>
      </w:r>
    </w:p>
    <w:p w:rsidR="00074FF3" w:rsidRPr="00074FF3" w:rsidRDefault="00074FF3" w:rsidP="00074FF3">
      <w:pPr>
        <w:overflowPunct/>
        <w:autoSpaceDE/>
        <w:autoSpaceDN/>
        <w:adjustRightInd/>
        <w:spacing w:after="200"/>
        <w:ind w:left="720"/>
        <w:jc w:val="both"/>
        <w:textAlignment w:val="auto"/>
        <w:rPr>
          <w:b/>
          <w:color w:val="000000"/>
          <w:sz w:val="22"/>
          <w:szCs w:val="22"/>
        </w:rPr>
      </w:pPr>
      <w:r w:rsidRPr="00074FF3">
        <w:rPr>
          <w:color w:val="000000"/>
          <w:sz w:val="22"/>
          <w:szCs w:val="22"/>
        </w:rPr>
        <w:t>A.1 (j) the enlarged part of the dwellinghouse would extend beyond a wall forming a side elevation of the original dwellinghouse, and would – (i) exceed 4 metres in height, (ii) have more than a single storey, or (iii) have a width greater than half the width of the original dwellinghouse</w:t>
      </w:r>
      <w:r w:rsidRPr="00074FF3">
        <w:rPr>
          <w:b/>
          <w:color w:val="000000"/>
          <w:sz w:val="22"/>
          <w:szCs w:val="22"/>
        </w:rPr>
        <w:t xml:space="preserve"> </w:t>
      </w:r>
      <w:r w:rsidR="00095ED1">
        <w:rPr>
          <w:b/>
          <w:color w:val="000000"/>
          <w:sz w:val="22"/>
          <w:szCs w:val="22"/>
        </w:rPr>
        <w:t>N/A</w:t>
      </w:r>
    </w:p>
    <w:p w:rsidR="00074FF3" w:rsidRPr="00074FF3" w:rsidRDefault="00074FF3" w:rsidP="00074FF3">
      <w:pPr>
        <w:overflowPunct/>
        <w:autoSpaceDE/>
        <w:autoSpaceDN/>
        <w:adjustRightInd/>
        <w:spacing w:after="200"/>
        <w:ind w:left="720"/>
        <w:jc w:val="both"/>
        <w:textAlignment w:val="auto"/>
        <w:rPr>
          <w:b/>
          <w:color w:val="000000"/>
          <w:sz w:val="22"/>
          <w:szCs w:val="22"/>
        </w:rPr>
      </w:pPr>
      <w:r w:rsidRPr="00074FF3">
        <w:rPr>
          <w:color w:val="000000"/>
          <w:sz w:val="22"/>
          <w:szCs w:val="22"/>
        </w:rPr>
        <w:t>A.1 (k) it would consist of or include – (i) the construction or provision of a verandah, balcony or raised platform</w:t>
      </w:r>
      <w:r w:rsidRPr="00074FF3">
        <w:rPr>
          <w:b/>
          <w:color w:val="000000"/>
          <w:sz w:val="22"/>
          <w:szCs w:val="22"/>
        </w:rPr>
        <w:t xml:space="preserve"> </w:t>
      </w:r>
      <w:r w:rsidRPr="00074FF3">
        <w:rPr>
          <w:color w:val="000000"/>
          <w:sz w:val="22"/>
          <w:szCs w:val="22"/>
        </w:rPr>
        <w:t xml:space="preserve">(ii) the installation, alteration or replacement of a microwave antenna, (iii) the installation, alteration or replacement of a chimney, flue or soil and vent pipe, or (iv) an alteration to any part of the roof of the dwellinghouse </w:t>
      </w:r>
      <w:r w:rsidR="00095ED1" w:rsidRPr="00095ED1">
        <w:rPr>
          <w:b/>
          <w:color w:val="000000"/>
          <w:sz w:val="22"/>
          <w:szCs w:val="22"/>
        </w:rPr>
        <w:t>N/A</w:t>
      </w:r>
    </w:p>
    <w:p w:rsidR="00074FF3" w:rsidRPr="00074FF3" w:rsidRDefault="00074FF3" w:rsidP="00074FF3">
      <w:pPr>
        <w:overflowPunct/>
        <w:autoSpaceDE/>
        <w:autoSpaceDN/>
        <w:adjustRightInd/>
        <w:spacing w:after="200"/>
        <w:ind w:left="720"/>
        <w:jc w:val="both"/>
        <w:textAlignment w:val="auto"/>
        <w:rPr>
          <w:color w:val="000000"/>
          <w:sz w:val="22"/>
          <w:szCs w:val="24"/>
        </w:rPr>
      </w:pPr>
      <w:r w:rsidRPr="00074FF3">
        <w:rPr>
          <w:color w:val="000000"/>
          <w:sz w:val="22"/>
          <w:szCs w:val="24"/>
        </w:rPr>
        <w:t>A.2 In the case of a dwellinghouse on article 2(3) land, development is not permitted by Class A if:</w:t>
      </w:r>
    </w:p>
    <w:p w:rsidR="00074FF3" w:rsidRPr="00074FF3" w:rsidRDefault="00074FF3" w:rsidP="00074FF3">
      <w:pPr>
        <w:overflowPunct/>
        <w:autoSpaceDE/>
        <w:autoSpaceDN/>
        <w:adjustRightInd/>
        <w:spacing w:after="200"/>
        <w:ind w:left="720"/>
        <w:jc w:val="both"/>
        <w:textAlignment w:val="auto"/>
        <w:rPr>
          <w:color w:val="000000"/>
          <w:sz w:val="22"/>
          <w:szCs w:val="24"/>
        </w:rPr>
      </w:pPr>
      <w:r w:rsidRPr="00074FF3">
        <w:rPr>
          <w:color w:val="000000"/>
          <w:sz w:val="22"/>
          <w:szCs w:val="24"/>
        </w:rPr>
        <w:t>A.2 (a) it would consist of or include the cladding of any part of the exterior of the dwellinghouse with stone, artificial stone, pebble dash, render, timber, plastic or tiles</w:t>
      </w:r>
      <w:r w:rsidR="00095ED1">
        <w:rPr>
          <w:color w:val="000000"/>
          <w:sz w:val="22"/>
          <w:szCs w:val="24"/>
        </w:rPr>
        <w:t xml:space="preserve"> </w:t>
      </w:r>
      <w:r w:rsidR="00095ED1" w:rsidRPr="00095ED1">
        <w:rPr>
          <w:b/>
          <w:color w:val="000000"/>
          <w:sz w:val="22"/>
          <w:szCs w:val="24"/>
        </w:rPr>
        <w:t>N/A</w:t>
      </w:r>
    </w:p>
    <w:p w:rsidR="00074FF3" w:rsidRPr="00074FF3" w:rsidRDefault="00074FF3" w:rsidP="00074FF3">
      <w:pPr>
        <w:overflowPunct/>
        <w:autoSpaceDE/>
        <w:autoSpaceDN/>
        <w:adjustRightInd/>
        <w:spacing w:after="200"/>
        <w:ind w:left="720"/>
        <w:jc w:val="both"/>
        <w:textAlignment w:val="auto"/>
        <w:rPr>
          <w:color w:val="000000"/>
          <w:sz w:val="22"/>
          <w:szCs w:val="24"/>
        </w:rPr>
      </w:pPr>
      <w:r w:rsidRPr="00074FF3">
        <w:rPr>
          <w:color w:val="000000"/>
          <w:sz w:val="22"/>
          <w:szCs w:val="24"/>
        </w:rPr>
        <w:t xml:space="preserve"> A.2 (b) the enlarged part of the dwellinghouse would extend beyond a wall forming a side elevation of the original dwellinghouse</w:t>
      </w:r>
      <w:r w:rsidR="00095ED1">
        <w:rPr>
          <w:color w:val="000000"/>
          <w:sz w:val="22"/>
          <w:szCs w:val="24"/>
        </w:rPr>
        <w:t xml:space="preserve"> </w:t>
      </w:r>
      <w:r w:rsidR="00095ED1" w:rsidRPr="00095ED1">
        <w:rPr>
          <w:b/>
          <w:color w:val="000000"/>
          <w:sz w:val="22"/>
          <w:szCs w:val="24"/>
        </w:rPr>
        <w:t>N/A</w:t>
      </w:r>
    </w:p>
    <w:p w:rsidR="00074FF3" w:rsidRPr="00074FF3" w:rsidRDefault="00074FF3" w:rsidP="00074FF3">
      <w:pPr>
        <w:overflowPunct/>
        <w:autoSpaceDE/>
        <w:autoSpaceDN/>
        <w:adjustRightInd/>
        <w:spacing w:after="200"/>
        <w:ind w:left="720"/>
        <w:jc w:val="both"/>
        <w:textAlignment w:val="auto"/>
        <w:rPr>
          <w:color w:val="000000"/>
          <w:sz w:val="22"/>
          <w:szCs w:val="24"/>
        </w:rPr>
      </w:pPr>
      <w:r w:rsidRPr="00074FF3">
        <w:rPr>
          <w:color w:val="000000"/>
          <w:sz w:val="22"/>
          <w:szCs w:val="24"/>
        </w:rPr>
        <w:t>A.2 (c) the enlarged part of the dwellinghouse would have more than a single storey and extend beyond the rear wall of the original dwellinghouse</w:t>
      </w:r>
      <w:r w:rsidR="00095ED1">
        <w:rPr>
          <w:color w:val="000000"/>
          <w:sz w:val="22"/>
          <w:szCs w:val="24"/>
        </w:rPr>
        <w:t xml:space="preserve"> </w:t>
      </w:r>
      <w:r w:rsidR="00095ED1" w:rsidRPr="00095ED1">
        <w:rPr>
          <w:b/>
          <w:color w:val="000000"/>
          <w:sz w:val="22"/>
          <w:szCs w:val="24"/>
        </w:rPr>
        <w:t>N/A</w:t>
      </w:r>
    </w:p>
    <w:p w:rsidR="00074FF3" w:rsidRPr="00074FF3" w:rsidRDefault="00074FF3" w:rsidP="00074FF3">
      <w:pPr>
        <w:overflowPunct/>
        <w:autoSpaceDE/>
        <w:autoSpaceDN/>
        <w:adjustRightInd/>
        <w:ind w:left="720"/>
        <w:contextualSpacing/>
        <w:jc w:val="both"/>
        <w:textAlignment w:val="auto"/>
        <w:rPr>
          <w:b/>
          <w:color w:val="000000"/>
          <w:sz w:val="22"/>
          <w:szCs w:val="22"/>
        </w:rPr>
      </w:pPr>
      <w:r w:rsidRPr="00074FF3">
        <w:rPr>
          <w:b/>
          <w:color w:val="000000"/>
          <w:sz w:val="22"/>
          <w:szCs w:val="22"/>
        </w:rPr>
        <w:t>Conditions</w:t>
      </w:r>
    </w:p>
    <w:p w:rsidR="00074FF3" w:rsidRPr="00074FF3" w:rsidRDefault="00074FF3" w:rsidP="00074FF3">
      <w:pPr>
        <w:overflowPunct/>
        <w:autoSpaceDE/>
        <w:autoSpaceDN/>
        <w:adjustRightInd/>
        <w:ind w:left="720"/>
        <w:jc w:val="both"/>
        <w:textAlignment w:val="auto"/>
        <w:rPr>
          <w:color w:val="000000"/>
          <w:sz w:val="22"/>
          <w:szCs w:val="22"/>
        </w:rPr>
      </w:pPr>
      <w:r w:rsidRPr="00074FF3">
        <w:rPr>
          <w:color w:val="000000"/>
          <w:sz w:val="22"/>
          <w:szCs w:val="22"/>
        </w:rPr>
        <w:t>Development is permitted by Class A subject to the following conditions:</w:t>
      </w:r>
    </w:p>
    <w:p w:rsidR="00074FF3" w:rsidRPr="00074FF3" w:rsidRDefault="00074FF3" w:rsidP="00074FF3">
      <w:pPr>
        <w:overflowPunct/>
        <w:autoSpaceDE/>
        <w:autoSpaceDN/>
        <w:adjustRightInd/>
        <w:ind w:left="720"/>
        <w:jc w:val="both"/>
        <w:textAlignment w:val="auto"/>
        <w:rPr>
          <w:color w:val="000000"/>
          <w:sz w:val="22"/>
          <w:szCs w:val="22"/>
        </w:rPr>
      </w:pPr>
    </w:p>
    <w:p w:rsidR="00074FF3" w:rsidRPr="00074FF3" w:rsidRDefault="00074FF3" w:rsidP="00074FF3">
      <w:pPr>
        <w:overflowPunct/>
        <w:autoSpaceDE/>
        <w:autoSpaceDN/>
        <w:adjustRightInd/>
        <w:ind w:left="720"/>
        <w:jc w:val="both"/>
        <w:textAlignment w:val="auto"/>
        <w:rPr>
          <w:b/>
          <w:color w:val="000000"/>
          <w:sz w:val="22"/>
          <w:szCs w:val="22"/>
        </w:rPr>
      </w:pPr>
      <w:r w:rsidRPr="00074FF3">
        <w:rPr>
          <w:color w:val="000000"/>
          <w:sz w:val="22"/>
          <w:szCs w:val="22"/>
        </w:rPr>
        <w:t>A.3 (a) the materials used in any exterior work (other than materials used in the construction of a conservatory) must be of a similar appearance to those used in the construction of the exterior of the dwellinghouse</w:t>
      </w:r>
      <w:r w:rsidR="00095ED1">
        <w:rPr>
          <w:color w:val="000000"/>
          <w:sz w:val="22"/>
          <w:szCs w:val="22"/>
        </w:rPr>
        <w:t xml:space="preserve"> - </w:t>
      </w:r>
      <w:r w:rsidR="00095ED1" w:rsidRPr="00A55F3D">
        <w:rPr>
          <w:b/>
          <w:color w:val="000000"/>
          <w:sz w:val="22"/>
          <w:szCs w:val="22"/>
        </w:rPr>
        <w:t>complies</w:t>
      </w:r>
    </w:p>
    <w:p w:rsidR="00074FF3" w:rsidRPr="00074FF3" w:rsidRDefault="00074FF3" w:rsidP="00074FF3">
      <w:pPr>
        <w:overflowPunct/>
        <w:autoSpaceDE/>
        <w:autoSpaceDN/>
        <w:adjustRightInd/>
        <w:ind w:left="720"/>
        <w:jc w:val="both"/>
        <w:textAlignment w:val="auto"/>
        <w:rPr>
          <w:color w:val="000000"/>
          <w:sz w:val="22"/>
          <w:szCs w:val="22"/>
        </w:rPr>
      </w:pPr>
    </w:p>
    <w:p w:rsidR="00074FF3" w:rsidRPr="00074FF3" w:rsidRDefault="00074FF3" w:rsidP="00074FF3">
      <w:pPr>
        <w:overflowPunct/>
        <w:autoSpaceDE/>
        <w:autoSpaceDN/>
        <w:adjustRightInd/>
        <w:ind w:left="720"/>
        <w:jc w:val="both"/>
        <w:textAlignment w:val="auto"/>
        <w:rPr>
          <w:color w:val="000000"/>
          <w:sz w:val="22"/>
          <w:szCs w:val="22"/>
        </w:rPr>
      </w:pPr>
      <w:r w:rsidRPr="00074FF3">
        <w:rPr>
          <w:color w:val="000000"/>
          <w:sz w:val="22"/>
          <w:szCs w:val="22"/>
        </w:rPr>
        <w:t xml:space="preserve">A.3 (b) any upper-floor window located in a wall or roof slope forming a side elevation of the dwellinghouse must be (i) obscure-glazed, and (ii) non-opening unless the parts of the window which can be opened are more than 1.7 metres above the floor of the room in which the window is installed. </w:t>
      </w:r>
      <w:r w:rsidR="00095ED1" w:rsidRPr="00095ED1">
        <w:rPr>
          <w:b/>
          <w:color w:val="000000"/>
          <w:sz w:val="22"/>
          <w:szCs w:val="22"/>
        </w:rPr>
        <w:t>N/A</w:t>
      </w:r>
    </w:p>
    <w:p w:rsidR="00074FF3" w:rsidRPr="00074FF3" w:rsidRDefault="00074FF3" w:rsidP="00074FF3">
      <w:pPr>
        <w:overflowPunct/>
        <w:autoSpaceDE/>
        <w:autoSpaceDN/>
        <w:adjustRightInd/>
        <w:ind w:left="720"/>
        <w:jc w:val="both"/>
        <w:textAlignment w:val="auto"/>
        <w:rPr>
          <w:b/>
          <w:color w:val="000000"/>
          <w:sz w:val="22"/>
          <w:szCs w:val="22"/>
        </w:rPr>
      </w:pPr>
    </w:p>
    <w:p w:rsidR="00074FF3" w:rsidRPr="00074FF3" w:rsidRDefault="00074FF3" w:rsidP="00074FF3">
      <w:pPr>
        <w:overflowPunct/>
        <w:autoSpaceDE/>
        <w:autoSpaceDN/>
        <w:adjustRightInd/>
        <w:ind w:left="720"/>
        <w:jc w:val="both"/>
        <w:textAlignment w:val="auto"/>
        <w:rPr>
          <w:color w:val="000000"/>
          <w:sz w:val="22"/>
          <w:szCs w:val="22"/>
        </w:rPr>
      </w:pPr>
      <w:r w:rsidRPr="00074FF3">
        <w:rPr>
          <w:color w:val="000000"/>
          <w:sz w:val="22"/>
          <w:szCs w:val="22"/>
        </w:rPr>
        <w:t>A.3 (c) where the enlarged part of the dwellinghouse has more than a single storey, or forms an upper storey on an existing enlargement of the original dwellinghouse, the roof pitch of the enlarged part must, so far as practicable, be the same as the roof pitch of the original dwellinghouse.</w:t>
      </w:r>
      <w:r w:rsidR="00095ED1">
        <w:rPr>
          <w:color w:val="000000"/>
          <w:sz w:val="22"/>
          <w:szCs w:val="22"/>
        </w:rPr>
        <w:t xml:space="preserve"> </w:t>
      </w:r>
      <w:r w:rsidR="00095ED1" w:rsidRPr="00095ED1">
        <w:rPr>
          <w:b/>
          <w:color w:val="000000"/>
          <w:sz w:val="22"/>
          <w:szCs w:val="22"/>
        </w:rPr>
        <w:t>N/A</w:t>
      </w:r>
    </w:p>
    <w:p w:rsidR="00074FF3" w:rsidRPr="00074FF3" w:rsidRDefault="00074FF3" w:rsidP="00074FF3">
      <w:pPr>
        <w:overflowPunct/>
        <w:autoSpaceDE/>
        <w:autoSpaceDN/>
        <w:adjustRightInd/>
        <w:ind w:left="720"/>
        <w:jc w:val="both"/>
        <w:textAlignment w:val="auto"/>
        <w:rPr>
          <w:color w:val="000000"/>
          <w:sz w:val="22"/>
          <w:szCs w:val="22"/>
        </w:rPr>
      </w:pPr>
    </w:p>
    <w:p w:rsidR="00074FF3" w:rsidRPr="00074FF3" w:rsidRDefault="00074FF3" w:rsidP="00074FF3">
      <w:pPr>
        <w:ind w:left="720"/>
        <w:contextualSpacing/>
        <w:jc w:val="both"/>
        <w:rPr>
          <w:b/>
          <w:bCs/>
          <w:iCs/>
          <w:sz w:val="22"/>
          <w:szCs w:val="22"/>
        </w:rPr>
      </w:pPr>
      <w:r w:rsidRPr="00074FF3">
        <w:rPr>
          <w:b/>
          <w:bCs/>
          <w:iCs/>
          <w:sz w:val="22"/>
          <w:szCs w:val="22"/>
        </w:rPr>
        <w:t>Equality Act</w:t>
      </w:r>
    </w:p>
    <w:p w:rsidR="00074FF3" w:rsidRPr="00074FF3" w:rsidRDefault="00074FF3" w:rsidP="00074FF3">
      <w:pPr>
        <w:ind w:left="720"/>
        <w:contextualSpacing/>
        <w:jc w:val="both"/>
        <w:rPr>
          <w:b/>
          <w:bCs/>
          <w:iCs/>
          <w:sz w:val="22"/>
          <w:szCs w:val="22"/>
        </w:rPr>
      </w:pPr>
      <w:r w:rsidRPr="00074FF3">
        <w:rPr>
          <w:rFonts w:cs="Arial"/>
          <w:bCs/>
          <w:sz w:val="22"/>
          <w:szCs w:val="22"/>
        </w:rPr>
        <w:t xml:space="preserve">In determining this application, the Council is required to have regard to its obligations under the Equality Act 2010. The key equalities protected characteristics include age, </w:t>
      </w:r>
      <w:r w:rsidRPr="00074FF3">
        <w:rPr>
          <w:rFonts w:cs="Arial"/>
          <w:bCs/>
          <w:sz w:val="22"/>
          <w:szCs w:val="22"/>
        </w:rPr>
        <w:lastRenderedPageBreak/>
        <w:t>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rsidR="00074FF3" w:rsidRPr="00074FF3" w:rsidRDefault="00074FF3" w:rsidP="00074FF3">
      <w:pPr>
        <w:overflowPunct/>
        <w:autoSpaceDE/>
        <w:autoSpaceDN/>
        <w:adjustRightInd/>
        <w:ind w:left="720"/>
        <w:jc w:val="both"/>
        <w:textAlignment w:val="auto"/>
        <w:rPr>
          <w:b/>
          <w:color w:val="000000"/>
          <w:sz w:val="22"/>
          <w:szCs w:val="22"/>
        </w:rPr>
      </w:pPr>
    </w:p>
    <w:p w:rsidR="00074FF3" w:rsidRPr="00074FF3" w:rsidRDefault="00074FF3" w:rsidP="00074FF3">
      <w:pPr>
        <w:overflowPunct/>
        <w:autoSpaceDE/>
        <w:autoSpaceDN/>
        <w:adjustRightInd/>
        <w:ind w:left="720"/>
        <w:contextualSpacing/>
        <w:jc w:val="both"/>
        <w:textAlignment w:val="auto"/>
        <w:rPr>
          <w:b/>
          <w:color w:val="000000"/>
          <w:sz w:val="22"/>
          <w:szCs w:val="24"/>
        </w:rPr>
      </w:pPr>
      <w:r w:rsidRPr="00074FF3">
        <w:rPr>
          <w:b/>
          <w:color w:val="000000"/>
          <w:sz w:val="22"/>
          <w:szCs w:val="24"/>
        </w:rPr>
        <w:t>Conclusion</w:t>
      </w:r>
    </w:p>
    <w:p w:rsidR="00074FF3" w:rsidRPr="00074FF3" w:rsidRDefault="00074FF3" w:rsidP="00074FF3">
      <w:pPr>
        <w:overflowPunct/>
        <w:autoSpaceDE/>
        <w:autoSpaceDN/>
        <w:adjustRightInd/>
        <w:spacing w:after="200"/>
        <w:ind w:left="720"/>
        <w:jc w:val="both"/>
        <w:textAlignment w:val="auto"/>
        <w:rPr>
          <w:color w:val="000000"/>
          <w:sz w:val="22"/>
          <w:szCs w:val="24"/>
        </w:rPr>
      </w:pPr>
      <w:r w:rsidRPr="00074FF3">
        <w:rPr>
          <w:color w:val="000000"/>
          <w:sz w:val="22"/>
          <w:szCs w:val="24"/>
        </w:rPr>
        <w:t xml:space="preserve">Sufficient evidence has been provided to demonstrate that a Certificate of Lawfulness should be granted for the </w:t>
      </w:r>
      <w:r w:rsidRPr="00074FF3">
        <w:rPr>
          <w:rFonts w:cs="Arial"/>
          <w:sz w:val="22"/>
          <w:szCs w:val="22"/>
        </w:rPr>
        <w:t>proposal to convert an existing single garage into a habitable room</w:t>
      </w:r>
      <w:r w:rsidRPr="00074FF3">
        <w:rPr>
          <w:color w:val="000000"/>
          <w:sz w:val="22"/>
          <w:szCs w:val="24"/>
        </w:rPr>
        <w:t>.</w:t>
      </w:r>
    </w:p>
    <w:p w:rsidR="00074FF3" w:rsidRDefault="00074FF3" w:rsidP="00074FF3">
      <w:pPr>
        <w:overflowPunct/>
        <w:autoSpaceDE/>
        <w:autoSpaceDN/>
        <w:adjustRightInd/>
        <w:spacing w:after="200"/>
        <w:ind w:left="720"/>
        <w:jc w:val="both"/>
        <w:textAlignment w:val="auto"/>
        <w:rPr>
          <w:sz w:val="22"/>
          <w:szCs w:val="24"/>
        </w:rPr>
      </w:pPr>
      <w:r w:rsidRPr="00074FF3">
        <w:rPr>
          <w:sz w:val="22"/>
          <w:szCs w:val="24"/>
        </w:rPr>
        <w:t xml:space="preserve">The proposal has been assessed against the Town and Country Planning Act 1990 (as amended) and Class A, Part 1, Schedule 2 of the Town and Country Planning (General Permitted Development) (England) Order 2015 (as amended) and it has been confirmed that the proposal would be lawful for planning purposes on the basis of the following drawings and information received </w:t>
      </w:r>
      <w:r w:rsidR="006135B2">
        <w:rPr>
          <w:sz w:val="22"/>
          <w:szCs w:val="24"/>
        </w:rPr>
        <w:t>30</w:t>
      </w:r>
      <w:r w:rsidR="006135B2" w:rsidRPr="006135B2">
        <w:rPr>
          <w:sz w:val="22"/>
          <w:szCs w:val="24"/>
          <w:vertAlign w:val="superscript"/>
        </w:rPr>
        <w:t>th</w:t>
      </w:r>
      <w:r w:rsidR="006135B2">
        <w:rPr>
          <w:sz w:val="22"/>
          <w:szCs w:val="24"/>
        </w:rPr>
        <w:t xml:space="preserve"> </w:t>
      </w:r>
      <w:r w:rsidRPr="00074FF3">
        <w:rPr>
          <w:sz w:val="22"/>
          <w:szCs w:val="24"/>
        </w:rPr>
        <w:t xml:space="preserve">September 2021: </w:t>
      </w:r>
    </w:p>
    <w:p w:rsidR="002B7C68" w:rsidRPr="002B7C68" w:rsidRDefault="002B7C68" w:rsidP="002B7C68">
      <w:pPr>
        <w:ind w:left="720"/>
      </w:pPr>
      <w:r w:rsidRPr="002B7C68">
        <w:rPr>
          <w:bCs/>
          <w:sz w:val="22"/>
          <w:szCs w:val="22"/>
        </w:rPr>
        <w:t>PL-01- Location Plan</w:t>
      </w:r>
    </w:p>
    <w:p w:rsidR="002B7C68" w:rsidRPr="009B56DF" w:rsidRDefault="002B7C68" w:rsidP="002B7C68">
      <w:pPr>
        <w:pStyle w:val="BodyText"/>
        <w:ind w:left="1440" w:hanging="720"/>
        <w:jc w:val="both"/>
        <w:rPr>
          <w:rFonts w:ascii="Trebuchet MS" w:eastAsia="Arial-BoldMT" w:hAnsi="Trebuchet MS" w:cs="Arial-BoldMT"/>
          <w:b w:val="0"/>
          <w:bCs/>
          <w:sz w:val="22"/>
          <w:szCs w:val="22"/>
          <w:lang w:eastAsia="en-GB"/>
        </w:rPr>
      </w:pPr>
      <w:r w:rsidRPr="009B56DF">
        <w:rPr>
          <w:rFonts w:ascii="Trebuchet MS" w:eastAsia="Arial-BoldMT" w:hAnsi="Trebuchet MS" w:cs="Arial-BoldMT"/>
          <w:b w:val="0"/>
          <w:bCs/>
          <w:sz w:val="22"/>
          <w:szCs w:val="22"/>
          <w:lang w:eastAsia="en-GB"/>
        </w:rPr>
        <w:t>PL-07 – Proposed Plans</w:t>
      </w:r>
    </w:p>
    <w:p w:rsidR="002B7C68" w:rsidRDefault="002B7C68" w:rsidP="002B7C68">
      <w:pPr>
        <w:ind w:left="720"/>
        <w:jc w:val="both"/>
        <w:rPr>
          <w:rFonts w:eastAsia="Arial-BoldMT" w:cs="Arial-BoldMT"/>
          <w:bCs/>
          <w:sz w:val="22"/>
          <w:szCs w:val="22"/>
          <w:lang w:eastAsia="en-GB"/>
        </w:rPr>
      </w:pPr>
      <w:r w:rsidRPr="009B56DF">
        <w:rPr>
          <w:rFonts w:eastAsia="Arial-BoldMT" w:cs="Arial-BoldMT"/>
          <w:bCs/>
          <w:sz w:val="22"/>
          <w:szCs w:val="22"/>
          <w:lang w:eastAsia="en-GB"/>
        </w:rPr>
        <w:t>PL-08 Rev A – Proposed Elevations</w:t>
      </w:r>
    </w:p>
    <w:p w:rsidR="002B7C68" w:rsidRPr="004D4304" w:rsidRDefault="002B7C68" w:rsidP="002B7C68">
      <w:pPr>
        <w:ind w:left="720"/>
        <w:jc w:val="both"/>
        <w:rPr>
          <w:bCs/>
          <w:sz w:val="22"/>
          <w:szCs w:val="22"/>
        </w:rPr>
      </w:pPr>
      <w:r>
        <w:rPr>
          <w:rFonts w:eastAsia="Arial-BoldMT" w:cs="Arial-BoldMT"/>
          <w:bCs/>
          <w:sz w:val="22"/>
          <w:szCs w:val="22"/>
          <w:lang w:eastAsia="en-GB"/>
        </w:rPr>
        <w:t>PL-09- Proposed Sections</w:t>
      </w:r>
    </w:p>
    <w:p w:rsidR="002B7C68" w:rsidRPr="00074FF3" w:rsidRDefault="002B7C68" w:rsidP="00074FF3">
      <w:pPr>
        <w:overflowPunct/>
        <w:autoSpaceDE/>
        <w:autoSpaceDN/>
        <w:adjustRightInd/>
        <w:spacing w:after="200"/>
        <w:ind w:left="720"/>
        <w:jc w:val="both"/>
        <w:textAlignment w:val="auto"/>
        <w:rPr>
          <w:sz w:val="22"/>
          <w:szCs w:val="24"/>
        </w:rPr>
      </w:pPr>
    </w:p>
    <w:p w:rsidR="00074FF3" w:rsidRPr="00074FF3" w:rsidRDefault="00074FF3" w:rsidP="00074FF3">
      <w:pPr>
        <w:ind w:left="720" w:hanging="720"/>
        <w:jc w:val="both"/>
        <w:textAlignment w:val="auto"/>
        <w:rPr>
          <w:sz w:val="22"/>
          <w:szCs w:val="22"/>
        </w:rPr>
      </w:pPr>
    </w:p>
    <w:p w:rsidR="00074FF3" w:rsidRPr="00074FF3" w:rsidRDefault="00074FF3" w:rsidP="00074FF3">
      <w:pPr>
        <w:overflowPunct/>
        <w:autoSpaceDE/>
        <w:autoSpaceDN/>
        <w:adjustRightInd/>
        <w:spacing w:after="200"/>
        <w:ind w:left="720"/>
        <w:contextualSpacing/>
        <w:jc w:val="both"/>
        <w:textAlignment w:val="auto"/>
        <w:rPr>
          <w:sz w:val="22"/>
          <w:szCs w:val="22"/>
        </w:rPr>
      </w:pPr>
      <w:r w:rsidRPr="00074FF3">
        <w:rPr>
          <w:b/>
          <w:sz w:val="22"/>
          <w:szCs w:val="22"/>
        </w:rPr>
        <w:t>RECOMMENDATION:</w:t>
      </w:r>
      <w:r w:rsidRPr="00074FF3">
        <w:rPr>
          <w:sz w:val="22"/>
          <w:szCs w:val="22"/>
        </w:rPr>
        <w:t xml:space="preserve"> GRANT CERTIFICATE </w:t>
      </w:r>
    </w:p>
    <w:p w:rsidR="00074FF3" w:rsidRPr="00356D64" w:rsidRDefault="00074FF3" w:rsidP="00074FF3">
      <w:pPr>
        <w:ind w:left="720" w:hanging="11"/>
        <w:jc w:val="both"/>
        <w:rPr>
          <w:rFonts w:cs="Trebuchet MS"/>
          <w:sz w:val="22"/>
          <w:szCs w:val="22"/>
          <w:u w:val="single"/>
          <w:lang w:eastAsia="en-GB"/>
        </w:rPr>
      </w:pPr>
    </w:p>
    <w:sectPr w:rsidR="00074FF3" w:rsidRPr="00356D64">
      <w:headerReference w:type="even" r:id="rId7"/>
      <w:headerReference w:type="default" r:id="rId8"/>
      <w:footerReference w:type="even" r:id="rId9"/>
      <w:footerReference w:type="default" r:id="rId10"/>
      <w:headerReference w:type="first" r:id="rId11"/>
      <w:footerReference w:type="first" r:id="rId12"/>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EEC" w:rsidRDefault="00CC7EEC">
      <w:r>
        <w:separator/>
      </w:r>
    </w:p>
  </w:endnote>
  <w:endnote w:type="continuationSeparator" w:id="0">
    <w:p w:rsidR="00CC7EEC" w:rsidRDefault="00CC7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5B2" w:rsidRDefault="006135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5B2" w:rsidRDefault="006135B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5B2" w:rsidRDefault="00613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EEC" w:rsidRDefault="00CC7EEC">
      <w:r>
        <w:separator/>
      </w:r>
    </w:p>
  </w:footnote>
  <w:footnote w:type="continuationSeparator" w:id="0">
    <w:p w:rsidR="00CC7EEC" w:rsidRDefault="00CC7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5B2" w:rsidRDefault="00613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5B2" w:rsidRDefault="006135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5B2" w:rsidRDefault="006135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543D96"/>
    <w:multiLevelType w:val="hybridMultilevel"/>
    <w:tmpl w:val="FB744682"/>
    <w:lvl w:ilvl="0" w:tplc="5920B21A">
      <w:start w:val="10"/>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37075296"/>
    <w:multiLevelType w:val="hybridMultilevel"/>
    <w:tmpl w:val="617893A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6"/>
  </w:num>
  <w:num w:numId="4">
    <w:abstractNumId w:val="33"/>
  </w:num>
  <w:num w:numId="5">
    <w:abstractNumId w:val="19"/>
  </w:num>
  <w:num w:numId="6">
    <w:abstractNumId w:val="13"/>
  </w:num>
  <w:num w:numId="7">
    <w:abstractNumId w:val="3"/>
  </w:num>
  <w:num w:numId="8">
    <w:abstractNumId w:val="29"/>
  </w:num>
  <w:num w:numId="9">
    <w:abstractNumId w:val="25"/>
  </w:num>
  <w:num w:numId="10">
    <w:abstractNumId w:val="2"/>
  </w:num>
  <w:num w:numId="11">
    <w:abstractNumId w:val="7"/>
  </w:num>
  <w:num w:numId="12">
    <w:abstractNumId w:val="31"/>
  </w:num>
  <w:num w:numId="13">
    <w:abstractNumId w:val="5"/>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10"/>
  </w:num>
  <w:num w:numId="21">
    <w:abstractNumId w:val="27"/>
  </w:num>
  <w:num w:numId="22">
    <w:abstractNumId w:val="14"/>
  </w:num>
  <w:num w:numId="23">
    <w:abstractNumId w:val="9"/>
  </w:num>
  <w:num w:numId="24">
    <w:abstractNumId w:val="16"/>
  </w:num>
  <w:num w:numId="25">
    <w:abstractNumId w:val="12"/>
  </w:num>
  <w:num w:numId="26">
    <w:abstractNumId w:val="21"/>
  </w:num>
  <w:num w:numId="27">
    <w:abstractNumId w:val="0"/>
  </w:num>
  <w:num w:numId="28">
    <w:abstractNumId w:val="23"/>
    <w:lvlOverride w:ilvl="0"/>
  </w:num>
  <w:num w:numId="29">
    <w:abstractNumId w:val="8"/>
  </w:num>
  <w:num w:numId="30">
    <w:abstractNumId w:val="11"/>
  </w:num>
  <w:num w:numId="31">
    <w:abstractNumId w:val="30"/>
  </w:num>
  <w:num w:numId="32">
    <w:abstractNumId w:val="34"/>
  </w:num>
  <w:num w:numId="33">
    <w:abstractNumId w:val="22"/>
  </w:num>
  <w:num w:numId="34">
    <w:abstractNumId w:val="17"/>
  </w:num>
  <w:num w:numId="35">
    <w:abstractNumId w:val="4"/>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74FF3"/>
    <w:rsid w:val="00095ED1"/>
    <w:rsid w:val="002B7C68"/>
    <w:rsid w:val="004A4E9E"/>
    <w:rsid w:val="006135B2"/>
    <w:rsid w:val="006761D5"/>
    <w:rsid w:val="00783970"/>
    <w:rsid w:val="007D3064"/>
    <w:rsid w:val="009B56DF"/>
    <w:rsid w:val="009F0EC6"/>
    <w:rsid w:val="00AA6544"/>
    <w:rsid w:val="00B01199"/>
    <w:rsid w:val="00BE0388"/>
    <w:rsid w:val="00CC7EEC"/>
    <w:rsid w:val="00E33C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0A0462EE-8C80-4AA0-82B7-4007F67D5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1333</Words>
  <Characters>7602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2022-02-15T16:36:00Z</dcterms:created>
  <dcterms:modified xsi:type="dcterms:W3CDTF">2022-02-15T16:36:00Z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