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FA9D33" w14:textId="366075B5" w:rsidR="00EB4411" w:rsidRPr="00DD5189" w:rsidRDefault="00753FD1">
      <w:pPr>
        <w:rPr>
          <w:b/>
          <w:bCs/>
        </w:rPr>
      </w:pPr>
      <w:r w:rsidRPr="00DD5189">
        <w:rPr>
          <w:b/>
          <w:bCs/>
        </w:rPr>
        <w:t>Presentation to Planning Committee</w:t>
      </w:r>
      <w:r w:rsidR="00DD5189" w:rsidRPr="00DD5189">
        <w:rPr>
          <w:b/>
          <w:bCs/>
        </w:rPr>
        <w:t xml:space="preserve"> - 2nd February 2022</w:t>
      </w:r>
    </w:p>
    <w:p w14:paraId="1BFE793B" w14:textId="2D907B7E" w:rsidR="00DD5189" w:rsidRDefault="00DD5189">
      <w:pPr>
        <w:rPr>
          <w:b/>
          <w:bCs/>
        </w:rPr>
      </w:pPr>
      <w:r w:rsidRPr="00DD5189">
        <w:rPr>
          <w:b/>
          <w:bCs/>
        </w:rPr>
        <w:t>The Moorings   210544</w:t>
      </w:r>
    </w:p>
    <w:p w14:paraId="1ADE6957" w14:textId="617BFCE7" w:rsidR="00DD5189" w:rsidRDefault="00DD5189">
      <w:pPr>
        <w:rPr>
          <w:b/>
          <w:bCs/>
        </w:rPr>
      </w:pPr>
    </w:p>
    <w:p w14:paraId="6CA22300" w14:textId="161ABB3A" w:rsidR="00DD5189" w:rsidRDefault="00DD5189" w:rsidP="002A74B0">
      <w:pPr>
        <w:jc w:val="both"/>
      </w:pPr>
      <w:r w:rsidRPr="00DD5189">
        <w:t>DLA Ref: 20/436</w:t>
      </w:r>
    </w:p>
    <w:p w14:paraId="53F0EC43" w14:textId="77777777" w:rsidR="005D2E0A" w:rsidRDefault="005D2E0A" w:rsidP="002A74B0">
      <w:pPr>
        <w:pStyle w:val="ListParagraph"/>
        <w:ind w:left="768" w:hanging="768"/>
        <w:jc w:val="both"/>
      </w:pPr>
    </w:p>
    <w:p w14:paraId="66F8F73B" w14:textId="3E4A1A28" w:rsidR="00DD5189" w:rsidRDefault="00C003BD" w:rsidP="002A74B0">
      <w:pPr>
        <w:pStyle w:val="ListParagraph"/>
        <w:ind w:left="768" w:hanging="768"/>
        <w:jc w:val="both"/>
      </w:pPr>
      <w:r>
        <w:t xml:space="preserve">1.0 </w:t>
      </w:r>
      <w:r>
        <w:tab/>
      </w:r>
      <w:r w:rsidR="00DD5189">
        <w:t>Chair, I would ask you to approve this application.  I do so, as you will see that:</w:t>
      </w:r>
    </w:p>
    <w:p w14:paraId="2CF860B1" w14:textId="77777777" w:rsidR="005D2E0A" w:rsidRDefault="005D2E0A" w:rsidP="002A74B0">
      <w:pPr>
        <w:pStyle w:val="ListParagraph"/>
        <w:ind w:left="709" w:hanging="709"/>
        <w:jc w:val="both"/>
      </w:pPr>
    </w:p>
    <w:p w14:paraId="0CAD998B" w14:textId="2474BACF" w:rsidR="005D2E0A" w:rsidRDefault="001E6982" w:rsidP="002A74B0">
      <w:pPr>
        <w:pStyle w:val="ListParagraph"/>
        <w:numPr>
          <w:ilvl w:val="0"/>
          <w:numId w:val="2"/>
        </w:numPr>
        <w:ind w:left="1134"/>
        <w:jc w:val="both"/>
      </w:pPr>
      <w:r>
        <w:t xml:space="preserve">In respect of flooding, The Environment Agency has withdrawn its objection – the scheme now proposes to provide </w:t>
      </w:r>
      <w:r w:rsidRPr="001E6982">
        <w:rPr>
          <w:b/>
          <w:bCs/>
        </w:rPr>
        <w:t>more</w:t>
      </w:r>
      <w:r w:rsidRPr="001E6982">
        <w:t xml:space="preserve"> </w:t>
      </w:r>
      <w:r>
        <w:t>floodwater capacity than currently exists – whilst your SUDS Manager is ‘</w:t>
      </w:r>
      <w:r w:rsidRPr="001E6982">
        <w:rPr>
          <w:i/>
          <w:iCs/>
        </w:rPr>
        <w:t>content</w:t>
      </w:r>
      <w:r>
        <w:t>’</w:t>
      </w:r>
      <w:r w:rsidR="0012615F">
        <w:t xml:space="preserve"> (Pages 67 and 72 of the Committee report).</w:t>
      </w:r>
    </w:p>
    <w:p w14:paraId="69AC9107" w14:textId="77777777" w:rsidR="005D2E0A" w:rsidRDefault="005D2E0A" w:rsidP="002A74B0">
      <w:pPr>
        <w:pStyle w:val="ListParagraph"/>
        <w:ind w:left="1134"/>
        <w:jc w:val="both"/>
      </w:pPr>
    </w:p>
    <w:p w14:paraId="66CBE854" w14:textId="3B83E1A6" w:rsidR="005D2E0A" w:rsidRDefault="005D2E0A" w:rsidP="002A74B0">
      <w:pPr>
        <w:pStyle w:val="ListParagraph"/>
        <w:numPr>
          <w:ilvl w:val="0"/>
          <w:numId w:val="2"/>
        </w:numPr>
        <w:ind w:left="1134"/>
        <w:jc w:val="both"/>
      </w:pPr>
      <w:r>
        <w:t>In respect of the Natural Environment your Officer states “</w:t>
      </w:r>
      <w:r w:rsidRPr="005D2E0A">
        <w:rPr>
          <w:i/>
          <w:iCs/>
        </w:rPr>
        <w:t xml:space="preserve">I am satisfied with the proposals now in </w:t>
      </w:r>
      <w:r>
        <w:rPr>
          <w:i/>
          <w:iCs/>
        </w:rPr>
        <w:t>relation to</w:t>
      </w:r>
      <w:r w:rsidRPr="005D2E0A">
        <w:rPr>
          <w:i/>
          <w:iCs/>
        </w:rPr>
        <w:t xml:space="preserve"> trees</w:t>
      </w:r>
      <w:r>
        <w:t>”</w:t>
      </w:r>
      <w:r w:rsidR="0012615F">
        <w:t xml:space="preserve"> (Page 75).</w:t>
      </w:r>
    </w:p>
    <w:p w14:paraId="3223AF12" w14:textId="77777777" w:rsidR="005D2E0A" w:rsidRDefault="005D2E0A" w:rsidP="002A74B0">
      <w:pPr>
        <w:pStyle w:val="ListParagraph"/>
        <w:ind w:left="1134"/>
        <w:jc w:val="both"/>
      </w:pPr>
    </w:p>
    <w:p w14:paraId="2A810182" w14:textId="62BC8CBB" w:rsidR="005D2E0A" w:rsidRDefault="005D2E0A" w:rsidP="002A74B0">
      <w:pPr>
        <w:pStyle w:val="ListParagraph"/>
        <w:numPr>
          <w:ilvl w:val="0"/>
          <w:numId w:val="2"/>
        </w:numPr>
        <w:ind w:left="1134"/>
        <w:jc w:val="both"/>
      </w:pPr>
      <w:r>
        <w:t>Your Environmental Protection Officer “</w:t>
      </w:r>
      <w:r w:rsidRPr="005D2E0A">
        <w:rPr>
          <w:i/>
          <w:iCs/>
        </w:rPr>
        <w:t>raises no objection</w:t>
      </w:r>
      <w:r>
        <w:t>”</w:t>
      </w:r>
      <w:r w:rsidR="0012615F">
        <w:t xml:space="preserve"> (Page 75).</w:t>
      </w:r>
    </w:p>
    <w:p w14:paraId="55ADA8B8" w14:textId="77777777" w:rsidR="005D2E0A" w:rsidRDefault="005D2E0A" w:rsidP="002A74B0">
      <w:pPr>
        <w:pStyle w:val="ListParagraph"/>
        <w:ind w:left="1134"/>
        <w:jc w:val="both"/>
      </w:pPr>
    </w:p>
    <w:p w14:paraId="558475F2" w14:textId="124C708A" w:rsidR="005D2E0A" w:rsidRDefault="005D2E0A" w:rsidP="002A74B0">
      <w:pPr>
        <w:pStyle w:val="ListParagraph"/>
        <w:numPr>
          <w:ilvl w:val="0"/>
          <w:numId w:val="2"/>
        </w:numPr>
        <w:ind w:left="1134"/>
        <w:jc w:val="both"/>
      </w:pPr>
      <w:r>
        <w:t xml:space="preserve">Your Planning Officer accepts there will be no </w:t>
      </w:r>
      <w:r w:rsidR="006B02D5">
        <w:t>adverse impact on neighbours</w:t>
      </w:r>
      <w:r w:rsidR="0012615F">
        <w:t xml:space="preserve"> Page 81).</w:t>
      </w:r>
    </w:p>
    <w:p w14:paraId="7E28AB89" w14:textId="77777777" w:rsidR="00157C2A" w:rsidRDefault="00157C2A" w:rsidP="002A74B0">
      <w:pPr>
        <w:pStyle w:val="ListParagraph"/>
        <w:jc w:val="both"/>
      </w:pPr>
    </w:p>
    <w:p w14:paraId="6D4B55D5" w14:textId="4160E4CE" w:rsidR="00157C2A" w:rsidRDefault="00C003BD" w:rsidP="002A74B0">
      <w:pPr>
        <w:jc w:val="both"/>
      </w:pPr>
      <w:r>
        <w:t xml:space="preserve">2.0 </w:t>
      </w:r>
      <w:r>
        <w:tab/>
      </w:r>
      <w:r w:rsidR="00157C2A">
        <w:t xml:space="preserve">In respect of ecology, our consultant has proposed a wide range of measures to </w:t>
      </w:r>
      <w:r w:rsidR="00157C2A">
        <w:tab/>
        <w:t xml:space="preserve">ensure </w:t>
      </w:r>
      <w:r w:rsidR="00157C2A">
        <w:tab/>
      </w:r>
      <w:r w:rsidR="00587B65">
        <w:t xml:space="preserve">there will be </w:t>
      </w:r>
      <w:r w:rsidR="003871EF">
        <w:t>a biodiversity gain as a result of this proposal.</w:t>
      </w:r>
      <w:r w:rsidR="00F83094">
        <w:t xml:space="preserve"> </w:t>
      </w:r>
    </w:p>
    <w:p w14:paraId="62F1041D" w14:textId="5337A5EC" w:rsidR="003871EF" w:rsidRDefault="003871EF" w:rsidP="002A74B0">
      <w:pPr>
        <w:jc w:val="both"/>
      </w:pPr>
    </w:p>
    <w:p w14:paraId="18E54353" w14:textId="3BC92CFB" w:rsidR="003871EF" w:rsidRDefault="003871EF" w:rsidP="002A74B0">
      <w:pPr>
        <w:jc w:val="both"/>
      </w:pPr>
      <w:r>
        <w:t>3.0</w:t>
      </w:r>
      <w:r>
        <w:tab/>
      </w:r>
      <w:r w:rsidRPr="003871EF">
        <w:rPr>
          <w:b/>
          <w:bCs/>
        </w:rPr>
        <w:t>The commercial use of The Moorings has not been abandoned.</w:t>
      </w:r>
      <w:r>
        <w:t xml:space="preserve"> </w:t>
      </w:r>
    </w:p>
    <w:p w14:paraId="7BD23104" w14:textId="0C2B4BA3" w:rsidR="00821174" w:rsidRDefault="003871EF" w:rsidP="002A74B0">
      <w:pPr>
        <w:ind w:left="709" w:hanging="709"/>
        <w:jc w:val="both"/>
      </w:pPr>
      <w:r>
        <w:t>3.1</w:t>
      </w:r>
      <w:r>
        <w:tab/>
        <w:t xml:space="preserve">The use of The Moorings has been questioned.  Today, this comprises moorings to the river, a wet dock, </w:t>
      </w:r>
      <w:r w:rsidR="00A50CEC">
        <w:t>slipway,</w:t>
      </w:r>
      <w:r>
        <w:t xml:space="preserve"> and workshop, which are all </w:t>
      </w:r>
      <w:r w:rsidR="00A50CEC">
        <w:t xml:space="preserve">in very sound condition, and are all shown on the 1898 and 1910 </w:t>
      </w:r>
      <w:r w:rsidR="00821174">
        <w:t>Ordnance Survey plans respectively</w:t>
      </w:r>
      <w:r w:rsidR="006D5AC1">
        <w:t xml:space="preserve"> and thereafter.</w:t>
      </w:r>
      <w:r w:rsidR="00821174">
        <w:t xml:space="preserve"> </w:t>
      </w:r>
      <w:r w:rsidR="006D5AC1">
        <w:t>A</w:t>
      </w:r>
      <w:r w:rsidR="00821174">
        <w:t>n underground diesel store and pump</w:t>
      </w:r>
      <w:r w:rsidR="006D5AC1">
        <w:t xml:space="preserve"> w</w:t>
      </w:r>
      <w:r w:rsidR="00323D1C">
        <w:t>ere</w:t>
      </w:r>
      <w:r w:rsidR="00821174">
        <w:t xml:space="preserve"> given planning permission by </w:t>
      </w:r>
      <w:r w:rsidR="006D5AC1">
        <w:t>the</w:t>
      </w:r>
      <w:r w:rsidR="00821174" w:rsidRPr="00F83094">
        <w:t xml:space="preserve"> Borough Council</w:t>
      </w:r>
      <w:r w:rsidR="00821174">
        <w:t xml:space="preserve"> in March 1978.</w:t>
      </w:r>
    </w:p>
    <w:p w14:paraId="2FCF6829" w14:textId="18E1F323" w:rsidR="003871EF" w:rsidRDefault="00821174" w:rsidP="002A74B0">
      <w:pPr>
        <w:ind w:left="709" w:hanging="709"/>
        <w:jc w:val="both"/>
      </w:pPr>
      <w:r>
        <w:t>3.2</w:t>
      </w:r>
      <w:r>
        <w:tab/>
      </w:r>
      <w:r w:rsidR="003871EF">
        <w:tab/>
      </w:r>
      <w:r>
        <w:t>An aerial photograph from 2006 shows that the site was still commercially active, with six boats moored alongside.</w:t>
      </w:r>
    </w:p>
    <w:p w14:paraId="2F393B11" w14:textId="6767F1A6" w:rsidR="004C57A5" w:rsidRDefault="004C57A5" w:rsidP="002A74B0">
      <w:pPr>
        <w:ind w:left="709" w:hanging="709"/>
        <w:jc w:val="both"/>
      </w:pPr>
      <w:r>
        <w:t>3.3</w:t>
      </w:r>
      <w:r>
        <w:tab/>
        <w:t xml:space="preserve">In response to the owner’s pre-app to the Council in August </w:t>
      </w:r>
      <w:r w:rsidRPr="00F83094">
        <w:t>20</w:t>
      </w:r>
      <w:r w:rsidR="0012615F">
        <w:t>1</w:t>
      </w:r>
      <w:r w:rsidRPr="00F83094">
        <w:t>0, your Officers</w:t>
      </w:r>
      <w:r>
        <w:t xml:space="preserve"> confirmed this commercial use.  Consequently, there can be no doubt that the site has </w:t>
      </w:r>
      <w:r w:rsidR="0012615F">
        <w:t xml:space="preserve">a lawful </w:t>
      </w:r>
      <w:r w:rsidR="00323D1C">
        <w:t>use as</w:t>
      </w:r>
      <w:r>
        <w:t xml:space="preserve"> a </w:t>
      </w:r>
      <w:r w:rsidR="006D5AC1">
        <w:t xml:space="preserve">commercial </w:t>
      </w:r>
      <w:r>
        <w:t>boatyard.  Whilst this use has declined, it has not been abandoned.</w:t>
      </w:r>
    </w:p>
    <w:p w14:paraId="07D7FAB8" w14:textId="77777777" w:rsidR="00C565FE" w:rsidRDefault="00C565FE" w:rsidP="002A74B0">
      <w:pPr>
        <w:ind w:left="709" w:hanging="709"/>
        <w:jc w:val="both"/>
      </w:pPr>
    </w:p>
    <w:p w14:paraId="1FDA157A" w14:textId="03BA298F" w:rsidR="004C57A5" w:rsidRDefault="004C57A5" w:rsidP="002A74B0">
      <w:pPr>
        <w:ind w:left="709" w:hanging="709"/>
        <w:jc w:val="both"/>
      </w:pPr>
      <w:r>
        <w:t>4.0</w:t>
      </w:r>
      <w:r>
        <w:tab/>
      </w:r>
      <w:r w:rsidRPr="00C565FE">
        <w:rPr>
          <w:b/>
          <w:bCs/>
        </w:rPr>
        <w:t>The proposal is to reinstate the vehicular access to The Moorings</w:t>
      </w:r>
      <w:r>
        <w:t>.</w:t>
      </w:r>
    </w:p>
    <w:p w14:paraId="17D8F5B8" w14:textId="73CB5A0B" w:rsidR="00C565FE" w:rsidRDefault="00C565FE" w:rsidP="002A74B0">
      <w:pPr>
        <w:ind w:left="709" w:hanging="709"/>
        <w:jc w:val="both"/>
      </w:pPr>
      <w:r>
        <w:t>4.1</w:t>
      </w:r>
      <w:r>
        <w:tab/>
        <w:t xml:space="preserve">In respect of the vehicular access from Mill Green to The Moorings, this is clearly shown on O.S. maps from 1882 onwards.  </w:t>
      </w:r>
    </w:p>
    <w:p w14:paraId="5B4A4F5B" w14:textId="6B28AF04" w:rsidR="00C565FE" w:rsidRDefault="00C565FE" w:rsidP="002A74B0">
      <w:pPr>
        <w:ind w:left="709" w:hanging="709"/>
        <w:jc w:val="both"/>
      </w:pPr>
      <w:r>
        <w:t>4.2</w:t>
      </w:r>
      <w:r>
        <w:tab/>
        <w:t xml:space="preserve">A </w:t>
      </w:r>
      <w:r w:rsidR="002A74B0">
        <w:t>S</w:t>
      </w:r>
      <w:r>
        <w:t xml:space="preserve">tatutory </w:t>
      </w:r>
      <w:r w:rsidR="002A74B0">
        <w:t>D</w:t>
      </w:r>
      <w:r>
        <w:t>eclaration from the previous owner</w:t>
      </w:r>
      <w:r w:rsidR="002A74B0">
        <w:t xml:space="preserve"> of the site </w:t>
      </w:r>
      <w:r>
        <w:t>forms part of the application before you this evening</w:t>
      </w:r>
      <w:r w:rsidR="002A74B0">
        <w:t>.</w:t>
      </w:r>
      <w:r>
        <w:t xml:space="preserve">  </w:t>
      </w:r>
      <w:r w:rsidR="002A74B0">
        <w:t xml:space="preserve">This confirms that </w:t>
      </w:r>
      <w:r w:rsidR="006D5AC1">
        <w:t>between</w:t>
      </w:r>
      <w:r w:rsidR="002A74B0">
        <w:t xml:space="preserve"> 1978 to 2008 there was (and I quote) “</w:t>
      </w:r>
      <w:r w:rsidR="002A74B0" w:rsidRPr="002A74B0">
        <w:rPr>
          <w:b/>
          <w:bCs/>
          <w:i/>
          <w:iCs/>
        </w:rPr>
        <w:t>an undisputed and uninterrupted right of way over the accessway</w:t>
      </w:r>
      <w:r w:rsidR="002A74B0">
        <w:t>”.  It is this accessway which this application seeks to reinstate.</w:t>
      </w:r>
    </w:p>
    <w:p w14:paraId="1B8C4804" w14:textId="2A6FF787" w:rsidR="002A74B0" w:rsidRDefault="002A74B0" w:rsidP="002A74B0">
      <w:pPr>
        <w:ind w:left="709" w:hanging="709"/>
        <w:jc w:val="both"/>
      </w:pPr>
      <w:r>
        <w:lastRenderedPageBreak/>
        <w:t>5.0</w:t>
      </w:r>
      <w:r>
        <w:tab/>
      </w:r>
      <w:r w:rsidRPr="002A74B0">
        <w:rPr>
          <w:b/>
          <w:bCs/>
        </w:rPr>
        <w:t>The proposals</w:t>
      </w:r>
      <w:r>
        <w:t>.</w:t>
      </w:r>
    </w:p>
    <w:p w14:paraId="2477B6C8" w14:textId="7EDD79E1" w:rsidR="002A74B0" w:rsidRDefault="002A74B0" w:rsidP="002A74B0">
      <w:pPr>
        <w:ind w:left="709" w:hanging="709"/>
        <w:jc w:val="both"/>
      </w:pPr>
      <w:r>
        <w:t>5.1</w:t>
      </w:r>
      <w:r>
        <w:tab/>
        <w:t>As stated in the application, the access would be used solely by the owner</w:t>
      </w:r>
      <w:r w:rsidR="003034A7">
        <w:t xml:space="preserve"> of The Moorings, using his private car to access his motorboat.</w:t>
      </w:r>
    </w:p>
    <w:p w14:paraId="1199A66D" w14:textId="3F256372" w:rsidR="003034A7" w:rsidRDefault="003034A7" w:rsidP="002A74B0">
      <w:pPr>
        <w:ind w:left="709" w:hanging="709"/>
        <w:jc w:val="both"/>
      </w:pPr>
      <w:r>
        <w:t>5.2</w:t>
      </w:r>
      <w:r>
        <w:tab/>
        <w:t>Consequently, he would sign a legal agreement to this effect and to ensure that The Moorings were used in perpetuity as private moorings and not as a commercial boatyard.</w:t>
      </w:r>
    </w:p>
    <w:p w14:paraId="1F06D2F5" w14:textId="6E13794C" w:rsidR="003034A7" w:rsidRDefault="003034A7" w:rsidP="002A74B0">
      <w:pPr>
        <w:ind w:left="709" w:hanging="709"/>
        <w:jc w:val="both"/>
      </w:pPr>
      <w:r>
        <w:t>5.3</w:t>
      </w:r>
      <w:r>
        <w:tab/>
        <w:t>Consequently, the access would have the use and characteristics of a private drive, with a turning head within The Moorings.  There is no need for a 5.5m wide carriageway</w:t>
      </w:r>
      <w:r w:rsidR="00CC13FD">
        <w:t xml:space="preserve"> as suggested </w:t>
      </w:r>
      <w:r w:rsidR="0012615F">
        <w:t xml:space="preserve">in the Report </w:t>
      </w:r>
      <w:r w:rsidR="00C003BD">
        <w:t>(Page</w:t>
      </w:r>
      <w:r w:rsidR="0012615F">
        <w:t xml:space="preserve"> 71).</w:t>
      </w:r>
    </w:p>
    <w:p w14:paraId="2F32C2E5" w14:textId="07116911" w:rsidR="00CC13FD" w:rsidRDefault="00CC13FD" w:rsidP="002A74B0">
      <w:pPr>
        <w:ind w:left="709" w:hanging="709"/>
        <w:jc w:val="both"/>
      </w:pPr>
      <w:r>
        <w:t>5.4</w:t>
      </w:r>
      <w:r>
        <w:tab/>
        <w:t xml:space="preserve">As a private drive, it is quite common to have a ‘shared surface’, </w:t>
      </w:r>
      <w:r w:rsidR="00C003BD">
        <w:t>i.e.,</w:t>
      </w:r>
      <w:r>
        <w:t xml:space="preserve"> a driveway used by pedestrians and vehicles.</w:t>
      </w:r>
    </w:p>
    <w:p w14:paraId="39EDCEF7" w14:textId="73299B71" w:rsidR="00CC13FD" w:rsidRDefault="00CC13FD" w:rsidP="002A74B0">
      <w:pPr>
        <w:ind w:left="709" w:hanging="709"/>
        <w:jc w:val="both"/>
      </w:pPr>
    </w:p>
    <w:p w14:paraId="1E3D235B" w14:textId="4503FFAB" w:rsidR="00CC13FD" w:rsidRDefault="00CC13FD" w:rsidP="002A74B0">
      <w:pPr>
        <w:ind w:left="709" w:hanging="709"/>
        <w:jc w:val="both"/>
        <w:rPr>
          <w:b/>
          <w:bCs/>
        </w:rPr>
      </w:pPr>
      <w:r>
        <w:t>6.0</w:t>
      </w:r>
      <w:r>
        <w:tab/>
      </w:r>
      <w:r w:rsidRPr="00CC13FD">
        <w:rPr>
          <w:b/>
          <w:bCs/>
        </w:rPr>
        <w:t>Conclusion</w:t>
      </w:r>
    </w:p>
    <w:p w14:paraId="45742C8C" w14:textId="2E2294A4" w:rsidR="00CC13FD" w:rsidRDefault="00CC13FD" w:rsidP="002A74B0">
      <w:pPr>
        <w:ind w:left="709" w:hanging="709"/>
        <w:jc w:val="both"/>
      </w:pPr>
      <w:r>
        <w:t>6.1</w:t>
      </w:r>
      <w:r>
        <w:tab/>
        <w:t xml:space="preserve">To conclude, Chair, the proposal before you </w:t>
      </w:r>
      <w:proofErr w:type="gramStart"/>
      <w:r>
        <w:t>is</w:t>
      </w:r>
      <w:proofErr w:type="gramEnd"/>
      <w:r>
        <w:t xml:space="preserve"> to reinstate an access to The Moorings, a </w:t>
      </w:r>
      <w:r w:rsidR="00C003BD">
        <w:t>long-standing</w:t>
      </w:r>
      <w:r>
        <w:t xml:space="preserve"> commercial boatyard.  As the Applicant wishes to use it solely to moor his boat at The Moorings, he is willing to sign a legal agreement to this effect</w:t>
      </w:r>
      <w:r w:rsidR="003826E6">
        <w:t xml:space="preserve"> and </w:t>
      </w:r>
      <w:r w:rsidR="0012615F">
        <w:t>so secure the cessation of</w:t>
      </w:r>
      <w:r w:rsidR="003826E6">
        <w:t xml:space="preserve"> the commercial </w:t>
      </w:r>
      <w:r w:rsidR="006D5AC1">
        <w:t xml:space="preserve">boatyard </w:t>
      </w:r>
      <w:r w:rsidR="003826E6">
        <w:t>use.</w:t>
      </w:r>
    </w:p>
    <w:p w14:paraId="7B83CE5F" w14:textId="11715E5B" w:rsidR="003826E6" w:rsidRDefault="003826E6" w:rsidP="002A74B0">
      <w:pPr>
        <w:ind w:left="709" w:hanging="709"/>
        <w:jc w:val="both"/>
      </w:pPr>
      <w:r>
        <w:t>6.2</w:t>
      </w:r>
      <w:r>
        <w:tab/>
        <w:t>The application will provide better flood amelioration than currently exists, the adjoining trees will not be prejudiced and there is the opportunity to provide for</w:t>
      </w:r>
      <w:r w:rsidR="009D2748">
        <w:t xml:space="preserve"> a</w:t>
      </w:r>
      <w:r>
        <w:t xml:space="preserve"> net biodiversity gain.</w:t>
      </w:r>
    </w:p>
    <w:p w14:paraId="56CFDFFA" w14:textId="337CAE5D" w:rsidR="003826E6" w:rsidRDefault="003826E6" w:rsidP="002A74B0">
      <w:pPr>
        <w:ind w:left="709" w:hanging="709"/>
        <w:jc w:val="both"/>
      </w:pPr>
      <w:r>
        <w:t>6.3</w:t>
      </w:r>
      <w:r>
        <w:tab/>
        <w:t>Chair, in all these circumstances I would ask you to approve the proposal but subject to a legal agreement as I have proposed.</w:t>
      </w:r>
    </w:p>
    <w:p w14:paraId="3927250D" w14:textId="129ACE53" w:rsidR="00850F82" w:rsidRDefault="003826E6" w:rsidP="002A74B0">
      <w:pPr>
        <w:ind w:left="709" w:hanging="709"/>
        <w:jc w:val="both"/>
      </w:pPr>
      <w:r>
        <w:t>6.4</w:t>
      </w:r>
      <w:r>
        <w:tab/>
        <w:t>Thank you.</w:t>
      </w:r>
    </w:p>
    <w:p w14:paraId="57EA08B0" w14:textId="77777777" w:rsidR="00850F82" w:rsidRDefault="00850F82">
      <w:r>
        <w:br w:type="page"/>
      </w:r>
    </w:p>
    <w:p w14:paraId="45AC49B2" w14:textId="1A34E2FC" w:rsidR="00850F82" w:rsidRPr="00F83094" w:rsidRDefault="00F83094" w:rsidP="00850F82">
      <w:pPr>
        <w:rPr>
          <w:b/>
          <w:bCs/>
        </w:rPr>
      </w:pPr>
      <w:r w:rsidRPr="00F83094">
        <w:rPr>
          <w:rFonts w:ascii="Arial" w:hAnsi="Arial" w:cs="Arial"/>
          <w:b/>
          <w:bCs/>
          <w:sz w:val="24"/>
          <w:szCs w:val="24"/>
        </w:rPr>
        <w:lastRenderedPageBreak/>
        <w:t xml:space="preserve">Appendix </w:t>
      </w:r>
      <w:proofErr w:type="gramStart"/>
      <w:r w:rsidRPr="00F83094">
        <w:rPr>
          <w:rFonts w:ascii="Arial" w:hAnsi="Arial" w:cs="Arial"/>
          <w:b/>
          <w:bCs/>
          <w:sz w:val="24"/>
          <w:szCs w:val="24"/>
        </w:rPr>
        <w:t>To</w:t>
      </w:r>
      <w:proofErr w:type="gramEnd"/>
      <w:r w:rsidRPr="00F83094">
        <w:rPr>
          <w:rFonts w:ascii="Arial" w:hAnsi="Arial" w:cs="Arial"/>
          <w:b/>
          <w:bCs/>
          <w:sz w:val="24"/>
          <w:szCs w:val="24"/>
        </w:rPr>
        <w:t xml:space="preserve"> Presentation: Responses of the Applicant’s Consultants to the Committee Report.</w:t>
      </w:r>
      <w:r w:rsidR="00850F82" w:rsidRPr="00F83094">
        <w:rPr>
          <w:rFonts w:ascii="Arial" w:hAnsi="Arial" w:cs="Arial"/>
          <w:b/>
          <w:bCs/>
          <w:sz w:val="24"/>
          <w:szCs w:val="24"/>
        </w:rPr>
        <w:t> </w:t>
      </w:r>
    </w:p>
    <w:p w14:paraId="49F333B6" w14:textId="77777777" w:rsidR="00850F82" w:rsidRDefault="00850F82" w:rsidP="00850F82">
      <w:pPr>
        <w:rPr>
          <w:rFonts w:ascii="Arial" w:hAnsi="Arial" w:cs="Arial"/>
          <w:sz w:val="24"/>
          <w:szCs w:val="24"/>
        </w:rPr>
      </w:pPr>
    </w:p>
    <w:p w14:paraId="156C2887" w14:textId="77777777" w:rsidR="00850F82" w:rsidRDefault="00850F82" w:rsidP="00850F82">
      <w:pPr>
        <w:rPr>
          <w:rFonts w:ascii="Arial" w:hAnsi="Arial" w:cs="Arial"/>
          <w:sz w:val="24"/>
          <w:szCs w:val="24"/>
        </w:rPr>
      </w:pPr>
    </w:p>
    <w:p w14:paraId="7D9413F7" w14:textId="52925EA6" w:rsidR="00850F82" w:rsidRDefault="00F83094" w:rsidP="00850F82">
      <w:r>
        <w:rPr>
          <w:rFonts w:ascii="Arial" w:hAnsi="Arial" w:cs="Arial"/>
          <w:sz w:val="24"/>
          <w:szCs w:val="24"/>
        </w:rPr>
        <w:t>1.</w:t>
      </w:r>
      <w:r w:rsidR="00850F82">
        <w:rPr>
          <w:rFonts w:ascii="Arial" w:hAnsi="Arial" w:cs="Arial"/>
          <w:sz w:val="24"/>
          <w:szCs w:val="24"/>
        </w:rPr>
        <w:t>The Landscape Architect and Arborist.</w:t>
      </w:r>
    </w:p>
    <w:p w14:paraId="34CEF6EC" w14:textId="77777777" w:rsidR="00850F82" w:rsidRDefault="00850F82" w:rsidP="00850F82">
      <w:r>
        <w:rPr>
          <w:rFonts w:ascii="Arial" w:hAnsi="Arial" w:cs="Arial"/>
          <w:sz w:val="24"/>
          <w:szCs w:val="24"/>
        </w:rPr>
        <w:t xml:space="preserve">“The report classifies the existing footpath link as a having the character of a `semi-rural green lane’. Has this come from an official document/assessment? I haven’t assessed the area fully but given the urban development around the footpath and the urban context of the site I would initially question this definition. </w:t>
      </w:r>
    </w:p>
    <w:p w14:paraId="02E38FE2" w14:textId="77777777" w:rsidR="00850F82" w:rsidRDefault="00850F82" w:rsidP="00850F82">
      <w:r>
        <w:rPr>
          <w:rFonts w:ascii="Arial" w:hAnsi="Arial" w:cs="Arial"/>
          <w:sz w:val="24"/>
          <w:szCs w:val="24"/>
        </w:rPr>
        <w:t> </w:t>
      </w:r>
    </w:p>
    <w:p w14:paraId="6F1383E7" w14:textId="77777777" w:rsidR="00850F82" w:rsidRDefault="00850F82" w:rsidP="00850F82">
      <w:pPr>
        <w:pStyle w:val="Default"/>
      </w:pPr>
      <w:r>
        <w:rPr>
          <w:rFonts w:ascii="Arial" w:hAnsi="Arial" w:cs="Arial"/>
        </w:rPr>
        <w:t>The report has quoted Policy EN14 of Reading Borough Local Plan `</w:t>
      </w:r>
      <w:r>
        <w:rPr>
          <w:rFonts w:ascii="Arial" w:hAnsi="Arial" w:cs="Arial"/>
          <w:i/>
          <w:iCs/>
        </w:rPr>
        <w:t xml:space="preserve">individual trees, groups of trees, hedges and woodlands will be protected from damage or removal where they are of importance’. </w:t>
      </w:r>
      <w:r>
        <w:rPr>
          <w:rFonts w:ascii="Arial" w:hAnsi="Arial" w:cs="Arial"/>
        </w:rPr>
        <w:t>There seems to be agreement that the trees potentially affected are low quality and unremarkable trees. I have not seen an assessment from the Council on the `importance’ of these trees, how this relates to Policy EN14 and is a material consideration in determining this application.  </w:t>
      </w:r>
    </w:p>
    <w:p w14:paraId="5AB8149A" w14:textId="77777777" w:rsidR="00850F82" w:rsidRDefault="00850F82" w:rsidP="00850F82">
      <w:pPr>
        <w:pStyle w:val="Default"/>
      </w:pPr>
      <w:r>
        <w:rPr>
          <w:rFonts w:ascii="Arial" w:hAnsi="Arial" w:cs="Arial"/>
        </w:rPr>
        <w:t> </w:t>
      </w:r>
    </w:p>
    <w:p w14:paraId="62FB4710" w14:textId="77777777" w:rsidR="00850F82" w:rsidRDefault="00850F82" w:rsidP="00850F82">
      <w:pPr>
        <w:pStyle w:val="Default"/>
      </w:pPr>
      <w:r>
        <w:rPr>
          <w:rFonts w:ascii="Arial" w:hAnsi="Arial" w:cs="Arial"/>
        </w:rPr>
        <w:t xml:space="preserve">The specification submitted for the access has been designed to have the least possible impact on the relevant trees. It is a reasonable specification which uses </w:t>
      </w:r>
      <w:proofErr w:type="gramStart"/>
      <w:r>
        <w:rPr>
          <w:rFonts w:ascii="Arial" w:hAnsi="Arial" w:cs="Arial"/>
        </w:rPr>
        <w:t>fairly standard</w:t>
      </w:r>
      <w:proofErr w:type="gramEnd"/>
      <w:r>
        <w:rPr>
          <w:rFonts w:ascii="Arial" w:hAnsi="Arial" w:cs="Arial"/>
        </w:rPr>
        <w:t xml:space="preserve"> methods and will ensure that the access won’t have a detrimental impact on these trees or affect their long-term viability. “</w:t>
      </w:r>
    </w:p>
    <w:p w14:paraId="5CE218F6" w14:textId="77777777" w:rsidR="00850F82" w:rsidRDefault="00850F82" w:rsidP="00850F82">
      <w:pPr>
        <w:pStyle w:val="Default"/>
      </w:pPr>
      <w:r>
        <w:rPr>
          <w:rFonts w:ascii="Arial" w:hAnsi="Arial" w:cs="Arial"/>
        </w:rPr>
        <w:t> </w:t>
      </w:r>
    </w:p>
    <w:p w14:paraId="68E481A3" w14:textId="163F0DEE" w:rsidR="00850F82" w:rsidRDefault="00F83094" w:rsidP="00850F82">
      <w:pPr>
        <w:pStyle w:val="Default"/>
        <w:rPr>
          <w:rFonts w:ascii="Arial" w:hAnsi="Arial" w:cs="Arial"/>
        </w:rPr>
      </w:pPr>
      <w:r>
        <w:rPr>
          <w:rFonts w:ascii="Arial" w:hAnsi="Arial" w:cs="Arial"/>
        </w:rPr>
        <w:t>2.</w:t>
      </w:r>
      <w:r w:rsidR="00850F82">
        <w:rPr>
          <w:rFonts w:ascii="Arial" w:hAnsi="Arial" w:cs="Arial"/>
        </w:rPr>
        <w:t>The Flood Risk Assessor.</w:t>
      </w:r>
    </w:p>
    <w:p w14:paraId="3361CBBC" w14:textId="77777777" w:rsidR="00F83094" w:rsidRDefault="00F83094" w:rsidP="00850F82">
      <w:pPr>
        <w:pStyle w:val="Default"/>
      </w:pPr>
    </w:p>
    <w:p w14:paraId="214E361D" w14:textId="77777777" w:rsidR="00850F82" w:rsidRDefault="00850F82" w:rsidP="00850F82">
      <w:r>
        <w:rPr>
          <w:rFonts w:eastAsia="Times New Roman"/>
        </w:rPr>
        <w:t xml:space="preserve">“7.19 "The applicant’s FRA had been updated to show that compensatory flood storage </w:t>
      </w:r>
      <w:r>
        <w:rPr>
          <w:rFonts w:eastAsia="Times New Roman"/>
          <w:u w:val="single"/>
        </w:rPr>
        <w:t>was possible</w:t>
      </w:r>
      <w:r>
        <w:rPr>
          <w:rFonts w:eastAsia="Times New Roman"/>
        </w:rPr>
        <w:t>, and that this would be undertaken within the blue land and not the red land."</w:t>
      </w:r>
      <w:r>
        <w:rPr>
          <w:rFonts w:eastAsia="Times New Roman"/>
        </w:rPr>
        <w:br/>
      </w:r>
      <w:r>
        <w:rPr>
          <w:rFonts w:eastAsia="Times New Roman"/>
        </w:rPr>
        <w:br/>
        <w:t>Should be corrected to "is possible".</w:t>
      </w:r>
      <w:r>
        <w:rPr>
          <w:rFonts w:eastAsia="Times New Roman"/>
        </w:rPr>
        <w:br/>
      </w:r>
      <w:r>
        <w:rPr>
          <w:rFonts w:eastAsia="Times New Roman"/>
        </w:rPr>
        <w:br/>
        <w:t>"throughflow of water would not occur in the same place"</w:t>
      </w:r>
      <w:r>
        <w:rPr>
          <w:rFonts w:eastAsia="Times New Roman"/>
        </w:rPr>
        <w:br/>
      </w:r>
      <w:r>
        <w:rPr>
          <w:rFonts w:eastAsia="Times New Roman"/>
        </w:rPr>
        <w:br/>
        <w:t>With reference to the image below, Lidar data (su7274_DTM_1M) shows there is no "through flow". The lidar data clearly shows this to be an area of depressed ground (light grey) with higher ground (green) at each end (land at or above 36.3m AOD).</w:t>
      </w:r>
      <w:r>
        <w:rPr>
          <w:rFonts w:eastAsia="Times New Roman"/>
        </w:rPr>
        <w:br/>
      </w:r>
      <w:r>
        <w:rPr>
          <w:rFonts w:eastAsia="Times New Roman"/>
        </w:rPr>
        <w:br/>
        <w:t>Flood flow into this area comes only from the Thames. The proposed CSV directly mitigates any loss of flood plain storage, and indeed provides more (and could provide additional) in direct level for level, volume for volume manner in strict accordance with C624.</w:t>
      </w:r>
      <w:r>
        <w:rPr>
          <w:rFonts w:eastAsia="Times New Roman"/>
        </w:rPr>
        <w:br/>
      </w:r>
    </w:p>
    <w:p w14:paraId="507EBF97" w14:textId="484C63CC" w:rsidR="00850F82" w:rsidRDefault="00850F82" w:rsidP="00850F82">
      <w:pPr>
        <w:rPr>
          <w:rFonts w:eastAsia="Times New Roman"/>
        </w:rPr>
      </w:pPr>
      <w:r>
        <w:rPr>
          <w:rFonts w:eastAsia="Times New Roman"/>
        </w:rPr>
        <w:br/>
        <w:t>"Overall, your officers are not satisfied that this development is suitable in technical flooding terms."</w:t>
      </w:r>
      <w:r>
        <w:rPr>
          <w:rFonts w:eastAsia="Times New Roman"/>
        </w:rPr>
        <w:br/>
        <w:t xml:space="preserve">It </w:t>
      </w:r>
      <w:r w:rsidR="00C003BD">
        <w:rPr>
          <w:rFonts w:eastAsia="Times New Roman"/>
        </w:rPr>
        <w:t>should be</w:t>
      </w:r>
      <w:r>
        <w:rPr>
          <w:rFonts w:eastAsia="Times New Roman"/>
        </w:rPr>
        <w:t xml:space="preserve"> noted that the EA, the Statute consultees on flood matters, whose role it is to provide expert guidance for the LPA in terms of technical flood risk removed their earlier objection. </w:t>
      </w:r>
      <w:r>
        <w:rPr>
          <w:rFonts w:eastAsia="Times New Roman"/>
        </w:rPr>
        <w:br/>
      </w:r>
      <w:r>
        <w:rPr>
          <w:rFonts w:eastAsia="Times New Roman"/>
        </w:rPr>
        <w:lastRenderedPageBreak/>
        <w:t>Hence without evidence as to the competence of the officers in relation to "technical flooding" this comment appears to be only subjective and an unquantifi</w:t>
      </w:r>
      <w:bookmarkStart w:id="0" w:name="_GoBack"/>
      <w:bookmarkEnd w:id="0"/>
      <w:r>
        <w:rPr>
          <w:rFonts w:eastAsia="Times New Roman"/>
        </w:rPr>
        <w:t>ed judgement.”</w:t>
      </w:r>
    </w:p>
    <w:p w14:paraId="0CEF7F23" w14:textId="77777777" w:rsidR="00F83094" w:rsidRDefault="00F83094" w:rsidP="00850F82"/>
    <w:p w14:paraId="76726F56" w14:textId="6065C9F6" w:rsidR="00850F82" w:rsidRDefault="00850F82" w:rsidP="00850F82">
      <w:r>
        <w:rPr>
          <w:rFonts w:eastAsia="Times New Roman"/>
        </w:rPr>
        <w:t> </w:t>
      </w:r>
      <w:r w:rsidR="00F83094">
        <w:rPr>
          <w:rFonts w:eastAsia="Times New Roman"/>
        </w:rPr>
        <w:t>3.</w:t>
      </w:r>
      <w:r>
        <w:rPr>
          <w:rFonts w:eastAsia="Times New Roman"/>
        </w:rPr>
        <w:t>The Highway Consultant</w:t>
      </w:r>
    </w:p>
    <w:p w14:paraId="29F33DE0" w14:textId="2EE31458" w:rsidR="00850F82" w:rsidRDefault="00850F82" w:rsidP="00850F82">
      <w:r>
        <w:rPr>
          <w:rFonts w:eastAsia="Times New Roman"/>
        </w:rPr>
        <w:t> </w:t>
      </w:r>
      <w:r>
        <w:rPr>
          <w:rFonts w:ascii="Segoe UI Light" w:hAnsi="Segoe UI Light" w:cs="Segoe UI Light"/>
          <w:i/>
          <w:iCs/>
          <w:sz w:val="20"/>
          <w:szCs w:val="20"/>
        </w:rPr>
        <w:t xml:space="preserve">“Whilst the design of the access route will require retaining structures, this will form part of any detailed design.  The principle being established at this stage is one of a minimum 2.75m wide route to accommodate infrequent vehicular traffic in accordance with Manual for Streets principles.  It is noted that the use of the land at the terminus of the access route is not for consideration in the application, however it must inform its design, as opposed to simply concluding that a 5.5m wide road is required (a width typically reserved for access to developments of up to 300 dwellings).  </w:t>
      </w:r>
    </w:p>
    <w:p w14:paraId="73997F9B" w14:textId="77777777" w:rsidR="00850F82" w:rsidRDefault="00850F82" w:rsidP="00850F82">
      <w:r>
        <w:rPr>
          <w:rFonts w:ascii="Segoe UI Light" w:hAnsi="Segoe UI Light" w:cs="Segoe UI Light"/>
          <w:i/>
          <w:iCs/>
          <w:sz w:val="20"/>
          <w:szCs w:val="20"/>
        </w:rPr>
        <w:t> </w:t>
      </w:r>
    </w:p>
    <w:p w14:paraId="62C15737" w14:textId="77777777" w:rsidR="00850F82" w:rsidRDefault="00850F82" w:rsidP="00850F82">
      <w:r>
        <w:rPr>
          <w:rFonts w:ascii="Segoe UI Light" w:hAnsi="Segoe UI Light" w:cs="Segoe UI Light"/>
          <w:i/>
          <w:iCs/>
          <w:sz w:val="20"/>
          <w:szCs w:val="20"/>
        </w:rPr>
        <w:t>The road will be used approximately twice a week, generating less traffic than a single dwelling.  On this basis it is not deemed suitable to design the road to cater for two-way traffic.  The provision of a flush edging between the existing footway and access road is to provide a visual delineation between the routes.  On the basis that single driveways and shared surface environments see the mixing of pedestrians / vehicles at grade, this treatment is considered appropriate, whilst low vehicle frequency and speeds reinforce the suitability of the proposal from a pedestrian and highway safety perspective.”  </w:t>
      </w:r>
    </w:p>
    <w:p w14:paraId="4CCDEA1A" w14:textId="77777777" w:rsidR="003826E6" w:rsidRDefault="003826E6" w:rsidP="002A74B0">
      <w:pPr>
        <w:ind w:left="709" w:hanging="709"/>
        <w:jc w:val="both"/>
      </w:pPr>
    </w:p>
    <w:p w14:paraId="436EDD70" w14:textId="77777777" w:rsidR="00C565FE" w:rsidRDefault="00C565FE" w:rsidP="003871EF">
      <w:pPr>
        <w:ind w:left="709" w:hanging="709"/>
      </w:pPr>
    </w:p>
    <w:p w14:paraId="057F0CC1" w14:textId="77777777" w:rsidR="004C57A5" w:rsidRDefault="004C57A5" w:rsidP="003871EF">
      <w:pPr>
        <w:ind w:left="709" w:hanging="709"/>
      </w:pPr>
    </w:p>
    <w:p w14:paraId="634EFC01" w14:textId="77777777" w:rsidR="006B02D5" w:rsidRDefault="006B02D5" w:rsidP="006B02D5">
      <w:pPr>
        <w:pStyle w:val="ListParagraph"/>
      </w:pPr>
    </w:p>
    <w:p w14:paraId="2AD5B35F" w14:textId="1EB0852D" w:rsidR="006B02D5" w:rsidRDefault="006B02D5" w:rsidP="006B02D5"/>
    <w:p w14:paraId="74F1D853" w14:textId="77777777" w:rsidR="006B02D5" w:rsidRPr="001E6982" w:rsidRDefault="006B02D5" w:rsidP="006B02D5"/>
    <w:sectPr w:rsidR="006B02D5" w:rsidRPr="001E69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382819"/>
    <w:multiLevelType w:val="multilevel"/>
    <w:tmpl w:val="308861FE"/>
    <w:lvl w:ilvl="0">
      <w:start w:val="1"/>
      <w:numFmt w:val="decimal"/>
      <w:lvlText w:val="%1.0"/>
      <w:lvlJc w:val="left"/>
      <w:pPr>
        <w:ind w:left="768" w:hanging="768"/>
      </w:pPr>
      <w:rPr>
        <w:rFonts w:hint="default"/>
      </w:rPr>
    </w:lvl>
    <w:lvl w:ilvl="1">
      <w:start w:val="1"/>
      <w:numFmt w:val="decimal"/>
      <w:lvlText w:val="%1.%2"/>
      <w:lvlJc w:val="left"/>
      <w:pPr>
        <w:ind w:left="1488" w:hanging="768"/>
      </w:pPr>
      <w:rPr>
        <w:rFonts w:hint="default"/>
      </w:rPr>
    </w:lvl>
    <w:lvl w:ilvl="2">
      <w:start w:val="1"/>
      <w:numFmt w:val="decimal"/>
      <w:lvlText w:val="%1.%2.%3"/>
      <w:lvlJc w:val="left"/>
      <w:pPr>
        <w:ind w:left="2208" w:hanging="768"/>
      </w:pPr>
      <w:rPr>
        <w:rFonts w:hint="default"/>
      </w:rPr>
    </w:lvl>
    <w:lvl w:ilvl="3">
      <w:start w:val="1"/>
      <w:numFmt w:val="decimal"/>
      <w:lvlText w:val="%1.%2.%3.%4"/>
      <w:lvlJc w:val="left"/>
      <w:pPr>
        <w:ind w:left="2928" w:hanging="768"/>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5C822061"/>
    <w:multiLevelType w:val="hybridMultilevel"/>
    <w:tmpl w:val="7DA8FE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FD1"/>
    <w:rsid w:val="0012615F"/>
    <w:rsid w:val="00157C2A"/>
    <w:rsid w:val="001E6982"/>
    <w:rsid w:val="002A74B0"/>
    <w:rsid w:val="003034A7"/>
    <w:rsid w:val="00323D1C"/>
    <w:rsid w:val="003826E6"/>
    <w:rsid w:val="003871EF"/>
    <w:rsid w:val="004760C3"/>
    <w:rsid w:val="004C57A5"/>
    <w:rsid w:val="00587B65"/>
    <w:rsid w:val="005D2E0A"/>
    <w:rsid w:val="006B02D5"/>
    <w:rsid w:val="006D5AC1"/>
    <w:rsid w:val="00753FD1"/>
    <w:rsid w:val="00821174"/>
    <w:rsid w:val="00850F82"/>
    <w:rsid w:val="009D2748"/>
    <w:rsid w:val="00A50CEC"/>
    <w:rsid w:val="00C003BD"/>
    <w:rsid w:val="00C565FE"/>
    <w:rsid w:val="00CC13FD"/>
    <w:rsid w:val="00DD5189"/>
    <w:rsid w:val="00EB4411"/>
    <w:rsid w:val="00F830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E29D3"/>
  <w15:chartTrackingRefBased/>
  <w15:docId w15:val="{9F67DB42-41E8-45A4-951C-9C2FFA13F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6982"/>
    <w:pPr>
      <w:ind w:left="720"/>
      <w:contextualSpacing/>
    </w:pPr>
  </w:style>
  <w:style w:type="paragraph" w:customStyle="1" w:styleId="Default">
    <w:name w:val="Default"/>
    <w:basedOn w:val="Normal"/>
    <w:rsid w:val="00850F82"/>
    <w:pPr>
      <w:autoSpaceDE w:val="0"/>
      <w:autoSpaceDN w:val="0"/>
      <w:spacing w:after="0" w:line="240" w:lineRule="auto"/>
    </w:pPr>
    <w:rPr>
      <w:rFonts w:ascii="Trebuchet MS" w:hAnsi="Trebuchet MS" w:cs="Calibri"/>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1324352">
      <w:bodyDiv w:val="1"/>
      <w:marLeft w:val="0"/>
      <w:marRight w:val="0"/>
      <w:marTop w:val="0"/>
      <w:marBottom w:val="0"/>
      <w:divBdr>
        <w:top w:val="none" w:sz="0" w:space="0" w:color="auto"/>
        <w:left w:val="none" w:sz="0" w:space="0" w:color="auto"/>
        <w:bottom w:val="none" w:sz="0" w:space="0" w:color="auto"/>
        <w:right w:val="none" w:sz="0" w:space="0" w:color="auto"/>
      </w:divBdr>
      <w:divsChild>
        <w:div w:id="20301405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37CD6-8D82-4A4F-B49C-89482092E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1095</Words>
  <Characters>6248</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Trinder</dc:creator>
  <cp:keywords/>
  <dc:description/>
  <cp:lastModifiedBy>Amoah, Alison</cp:lastModifiedBy>
  <cp:revision>2</cp:revision>
  <dcterms:created xsi:type="dcterms:W3CDTF">2022-02-01T12:42:00Z</dcterms:created>
  <dcterms:modified xsi:type="dcterms:W3CDTF">2022-02-01T12:42:00Z</dcterms:modified>
</cp:coreProperties>
</file>