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0B0A" w:rsidRPr="00501920" w:rsidRDefault="001A0B0A">
      <w:pPr>
        <w:pStyle w:val="BodyText"/>
        <w:tabs>
          <w:tab w:val="left" w:pos="2552"/>
        </w:tabs>
        <w:ind w:left="2552" w:hanging="2552"/>
        <w:jc w:val="both"/>
        <w:rPr>
          <w:rFonts w:ascii="Trebuchet MS" w:hAnsi="Trebuchet MS"/>
          <w:b w:val="0"/>
          <w:sz w:val="22"/>
          <w:szCs w:val="22"/>
        </w:rPr>
      </w:pPr>
      <w:bookmarkStart w:id="0" w:name="_GoBack"/>
      <w:bookmarkEnd w:id="0"/>
    </w:p>
    <w:p w:rsidR="001A0B0A" w:rsidRPr="00501920" w:rsidRDefault="001A0B0A" w:rsidP="00B35C4E">
      <w:pPr>
        <w:pStyle w:val="BodyText"/>
        <w:tabs>
          <w:tab w:val="left" w:pos="2552"/>
        </w:tabs>
        <w:ind w:left="3272" w:hanging="2552"/>
        <w:jc w:val="both"/>
        <w:rPr>
          <w:rFonts w:ascii="Trebuchet MS" w:hAnsi="Trebuchet MS"/>
          <w:sz w:val="22"/>
          <w:szCs w:val="22"/>
        </w:rPr>
      </w:pPr>
      <w:r w:rsidRPr="00501920">
        <w:rPr>
          <w:rFonts w:ascii="Trebuchet MS" w:hAnsi="Trebuchet MS"/>
          <w:sz w:val="22"/>
          <w:szCs w:val="22"/>
        </w:rPr>
        <w:t>DELEGATED HOUSEHOLDER APPLICATION REPORT</w:t>
      </w:r>
    </w:p>
    <w:p w:rsidR="001A0B0A" w:rsidRPr="00501920" w:rsidRDefault="001A0B0A" w:rsidP="00B35C4E">
      <w:pPr>
        <w:pStyle w:val="BodyText"/>
        <w:tabs>
          <w:tab w:val="left" w:pos="2552"/>
        </w:tabs>
        <w:ind w:left="3272" w:hanging="2552"/>
        <w:jc w:val="both"/>
        <w:rPr>
          <w:rFonts w:ascii="Trebuchet MS" w:hAnsi="Trebuchet MS"/>
          <w:sz w:val="22"/>
          <w:szCs w:val="22"/>
        </w:rPr>
      </w:pPr>
    </w:p>
    <w:p w:rsidR="001A0B0A" w:rsidRPr="00501920" w:rsidRDefault="001A0B0A" w:rsidP="00B35C4E">
      <w:pPr>
        <w:pStyle w:val="BodyText"/>
        <w:tabs>
          <w:tab w:val="left" w:pos="2552"/>
        </w:tabs>
        <w:ind w:left="3272" w:hanging="2552"/>
        <w:jc w:val="both"/>
        <w:rPr>
          <w:rFonts w:ascii="Trebuchet MS" w:hAnsi="Trebuchet MS"/>
          <w:sz w:val="22"/>
          <w:szCs w:val="22"/>
        </w:rPr>
      </w:pPr>
      <w:r w:rsidRPr="00501920">
        <w:rPr>
          <w:rFonts w:ascii="Trebuchet MS" w:hAnsi="Trebuchet MS"/>
          <w:sz w:val="22"/>
          <w:szCs w:val="22"/>
        </w:rPr>
        <w:t>Ward: Peppard</w:t>
      </w:r>
    </w:p>
    <w:p w:rsidR="001A0B0A" w:rsidRPr="00501920" w:rsidRDefault="001A0B0A" w:rsidP="00B35C4E">
      <w:pPr>
        <w:pStyle w:val="BodyText"/>
        <w:tabs>
          <w:tab w:val="left" w:pos="2552"/>
        </w:tabs>
        <w:ind w:left="3272" w:hanging="2552"/>
        <w:jc w:val="both"/>
        <w:rPr>
          <w:rFonts w:ascii="Trebuchet MS" w:hAnsi="Trebuchet MS"/>
          <w:b w:val="0"/>
          <w:sz w:val="22"/>
          <w:szCs w:val="22"/>
        </w:rPr>
      </w:pPr>
      <w:r w:rsidRPr="00501920">
        <w:rPr>
          <w:rFonts w:ascii="Trebuchet MS" w:hAnsi="Trebuchet MS"/>
          <w:sz w:val="22"/>
          <w:szCs w:val="22"/>
        </w:rPr>
        <w:t>App Ref: 220402</w:t>
      </w:r>
      <w:r w:rsidRPr="00501920">
        <w:rPr>
          <w:rFonts w:ascii="Trebuchet MS" w:hAnsi="Trebuchet MS"/>
          <w:b w:val="0"/>
          <w:sz w:val="22"/>
          <w:szCs w:val="22"/>
        </w:rPr>
        <w:t>/</w:t>
      </w:r>
      <w:r w:rsidRPr="00501920">
        <w:rPr>
          <w:rFonts w:ascii="Trebuchet MS" w:hAnsi="Trebuchet MS"/>
          <w:sz w:val="22"/>
          <w:szCs w:val="22"/>
        </w:rPr>
        <w:t>HPA</w:t>
      </w:r>
    </w:p>
    <w:p w:rsidR="001A0B0A" w:rsidRPr="00501920" w:rsidRDefault="001A0B0A" w:rsidP="00B35C4E">
      <w:pPr>
        <w:ind w:left="720"/>
        <w:jc w:val="both"/>
        <w:rPr>
          <w:rFonts w:cs="Trebuchet MS"/>
          <w:sz w:val="22"/>
          <w:szCs w:val="22"/>
        </w:rPr>
      </w:pPr>
      <w:r w:rsidRPr="00501920">
        <w:rPr>
          <w:b/>
          <w:bCs/>
          <w:sz w:val="22"/>
          <w:szCs w:val="22"/>
        </w:rPr>
        <w:t>Address:</w:t>
      </w:r>
      <w:r w:rsidRPr="00501920">
        <w:rPr>
          <w:sz w:val="22"/>
          <w:szCs w:val="22"/>
        </w:rPr>
        <w:t xml:space="preserve"> </w:t>
      </w:r>
      <w:r w:rsidRPr="00501920">
        <w:rPr>
          <w:rFonts w:cs="Trebuchet MS"/>
          <w:bCs/>
          <w:sz w:val="22"/>
          <w:szCs w:val="22"/>
        </w:rPr>
        <w:t>95 Grove Road, Emmer Green, Reading, RG4 8LW</w:t>
      </w:r>
    </w:p>
    <w:p w:rsidR="001A0B0A" w:rsidRPr="00501920" w:rsidRDefault="001A0B0A" w:rsidP="00B35C4E">
      <w:pPr>
        <w:ind w:left="720"/>
        <w:rPr>
          <w:sz w:val="22"/>
          <w:szCs w:val="22"/>
        </w:rPr>
      </w:pPr>
      <w:r w:rsidRPr="00501920">
        <w:rPr>
          <w:b/>
          <w:sz w:val="22"/>
          <w:szCs w:val="22"/>
        </w:rPr>
        <w:t>Proposals</w:t>
      </w:r>
      <w:r w:rsidRPr="00501920">
        <w:rPr>
          <w:sz w:val="22"/>
          <w:szCs w:val="22"/>
        </w:rPr>
        <w:t xml:space="preserve">: </w:t>
      </w:r>
      <w:r w:rsidRPr="00501920">
        <w:rPr>
          <w:rFonts w:cs="Trebuchet MS"/>
          <w:sz w:val="22"/>
          <w:szCs w:val="22"/>
        </w:rPr>
        <w:t xml:space="preserve">Rear extension measuring 6.0m in depth, with a maximum height of 3.6m, and 2.7m in height to eaves level. Notification of the construction of an extension under class A Part 1 of Schedule 2 of the Town and Country Planning (General Permitted Development) (England) Order 2015. </w:t>
      </w:r>
    </w:p>
    <w:p w:rsidR="001A0B0A" w:rsidRPr="00501920" w:rsidRDefault="001A0B0A" w:rsidP="00B35C4E">
      <w:pPr>
        <w:tabs>
          <w:tab w:val="left" w:pos="2552"/>
        </w:tabs>
        <w:ind w:left="3272" w:hanging="2552"/>
        <w:jc w:val="both"/>
        <w:rPr>
          <w:sz w:val="22"/>
          <w:szCs w:val="22"/>
        </w:rPr>
      </w:pPr>
      <w:r w:rsidRPr="00501920">
        <w:rPr>
          <w:b/>
          <w:sz w:val="22"/>
          <w:szCs w:val="22"/>
        </w:rPr>
        <w:t>Case Officer</w:t>
      </w:r>
      <w:r w:rsidRPr="00501920">
        <w:rPr>
          <w:sz w:val="22"/>
          <w:szCs w:val="22"/>
        </w:rPr>
        <w:t xml:space="preserve">: </w:t>
      </w:r>
      <w:r w:rsidRPr="00501920">
        <w:rPr>
          <w:rFonts w:cs="Trebuchet MS"/>
          <w:bCs/>
          <w:sz w:val="22"/>
          <w:szCs w:val="22"/>
        </w:rPr>
        <w:t>Chukwudi Onwudinanti</w:t>
      </w:r>
    </w:p>
    <w:p w:rsidR="001A0B0A" w:rsidRPr="00501920" w:rsidRDefault="001A0B0A" w:rsidP="00B35C4E">
      <w:pPr>
        <w:pStyle w:val="BodyText"/>
        <w:tabs>
          <w:tab w:val="left" w:pos="2552"/>
        </w:tabs>
        <w:ind w:left="3272" w:hanging="2552"/>
        <w:jc w:val="both"/>
        <w:rPr>
          <w:rFonts w:ascii="Trebuchet MS" w:hAnsi="Trebuchet MS"/>
          <w:b w:val="0"/>
          <w:sz w:val="22"/>
          <w:szCs w:val="22"/>
        </w:rPr>
      </w:pPr>
      <w:r w:rsidRPr="00501920">
        <w:rPr>
          <w:rFonts w:ascii="Trebuchet MS" w:hAnsi="Trebuchet MS"/>
          <w:sz w:val="22"/>
          <w:szCs w:val="22"/>
        </w:rPr>
        <w:t xml:space="preserve">Applicant: </w:t>
      </w:r>
      <w:r w:rsidRPr="00501920">
        <w:rPr>
          <w:rFonts w:ascii="Trebuchet MS" w:hAnsi="Trebuchet MS" w:cs="Trebuchet MS"/>
          <w:sz w:val="22"/>
          <w:szCs w:val="22"/>
        </w:rPr>
        <w:t>Mr Niththiyanathan Jeyaratnarajah</w:t>
      </w:r>
    </w:p>
    <w:p w:rsidR="00B35C4E" w:rsidRPr="00501920" w:rsidRDefault="001A0B0A" w:rsidP="00B35C4E">
      <w:pPr>
        <w:pStyle w:val="BodyText"/>
        <w:ind w:left="720"/>
        <w:jc w:val="both"/>
        <w:rPr>
          <w:rFonts w:ascii="Trebuchet MS" w:hAnsi="Trebuchet MS"/>
          <w:sz w:val="22"/>
          <w:szCs w:val="22"/>
        </w:rPr>
      </w:pPr>
      <w:r w:rsidRPr="00501920">
        <w:rPr>
          <w:rFonts w:ascii="Trebuchet MS" w:hAnsi="Trebuchet MS"/>
          <w:sz w:val="22"/>
          <w:szCs w:val="22"/>
        </w:rPr>
        <w:t xml:space="preserve">Date received (valid from): 22 March 2022      </w:t>
      </w:r>
    </w:p>
    <w:p w:rsidR="001A0B0A" w:rsidRPr="00501920" w:rsidRDefault="001A0B0A" w:rsidP="00B35C4E">
      <w:pPr>
        <w:pStyle w:val="BodyText"/>
        <w:ind w:left="720"/>
        <w:jc w:val="both"/>
        <w:rPr>
          <w:rFonts w:ascii="Trebuchet MS" w:hAnsi="Trebuchet MS"/>
          <w:sz w:val="22"/>
          <w:szCs w:val="22"/>
        </w:rPr>
      </w:pPr>
      <w:r w:rsidRPr="00501920">
        <w:rPr>
          <w:rFonts w:ascii="Trebuchet MS" w:hAnsi="Trebuchet MS"/>
          <w:sz w:val="22"/>
          <w:szCs w:val="22"/>
        </w:rPr>
        <w:t xml:space="preserve">Target Decision date: </w:t>
      </w:r>
      <w:r w:rsidR="00A55788">
        <w:rPr>
          <w:rFonts w:ascii="Trebuchet MS" w:hAnsi="Trebuchet MS" w:cs="Trebuchet MS"/>
          <w:noProof/>
          <w:sz w:val="22"/>
          <w:szCs w:val="22"/>
        </w:rPr>
        <w:t>17 June</w:t>
      </w:r>
      <w:r w:rsidRPr="00501920">
        <w:rPr>
          <w:rFonts w:ascii="Trebuchet MS" w:hAnsi="Trebuchet MS" w:cs="Trebuchet MS"/>
          <w:sz w:val="22"/>
          <w:szCs w:val="22"/>
        </w:rPr>
        <w:t xml:space="preserve"> 2022</w:t>
      </w:r>
      <w:r w:rsidR="00A55788">
        <w:rPr>
          <w:rFonts w:ascii="Trebuchet MS" w:hAnsi="Trebuchet MS" w:cs="Trebuchet MS"/>
          <w:sz w:val="22"/>
          <w:szCs w:val="22"/>
        </w:rPr>
        <w:t xml:space="preserve"> (Ext)</w:t>
      </w:r>
      <w:r w:rsidRPr="00501920">
        <w:rPr>
          <w:rFonts w:ascii="Trebuchet MS" w:hAnsi="Trebuchet MS"/>
          <w:sz w:val="22"/>
          <w:szCs w:val="22"/>
        </w:rPr>
        <w:tab/>
      </w:r>
    </w:p>
    <w:p w:rsidR="001A0B0A" w:rsidRPr="00501920" w:rsidRDefault="001A0B0A">
      <w:pPr>
        <w:pStyle w:val="BodyText"/>
        <w:tabs>
          <w:tab w:val="left" w:pos="2552"/>
        </w:tabs>
        <w:ind w:left="2552" w:hanging="2552"/>
        <w:jc w:val="both"/>
        <w:rPr>
          <w:rFonts w:ascii="Trebuchet MS" w:hAnsi="Trebuchet MS"/>
          <w:b w:val="0"/>
          <w:sz w:val="22"/>
          <w:szCs w:val="22"/>
        </w:rPr>
      </w:pPr>
    </w:p>
    <w:p w:rsidR="00B35C4E" w:rsidRPr="00501920" w:rsidRDefault="00B35C4E" w:rsidP="00B35C4E">
      <w:pPr>
        <w:ind w:left="720"/>
        <w:rPr>
          <w:sz w:val="22"/>
          <w:szCs w:val="22"/>
        </w:rPr>
      </w:pPr>
    </w:p>
    <w:p w:rsidR="00F9441C" w:rsidRPr="00501920" w:rsidRDefault="00F9441C" w:rsidP="00F9441C">
      <w:pPr>
        <w:pStyle w:val="Heading3"/>
        <w:ind w:left="720"/>
        <w:rPr>
          <w:rFonts w:ascii="Trebuchet MS" w:hAnsi="Trebuchet MS"/>
          <w:color w:val="000000"/>
          <w:szCs w:val="22"/>
        </w:rPr>
      </w:pPr>
      <w:r w:rsidRPr="00501920">
        <w:rPr>
          <w:rFonts w:ascii="Trebuchet MS" w:hAnsi="Trebuchet MS"/>
          <w:color w:val="000000"/>
          <w:szCs w:val="22"/>
        </w:rPr>
        <w:t>INTRODUCTION</w:t>
      </w:r>
    </w:p>
    <w:p w:rsidR="00F9441C" w:rsidRPr="00501920" w:rsidRDefault="00F9441C" w:rsidP="00F9441C">
      <w:pPr>
        <w:ind w:left="720"/>
        <w:rPr>
          <w:sz w:val="22"/>
          <w:szCs w:val="22"/>
        </w:rPr>
      </w:pPr>
    </w:p>
    <w:p w:rsidR="00F9441C" w:rsidRPr="00501920" w:rsidRDefault="00F9441C" w:rsidP="00F9441C">
      <w:pPr>
        <w:ind w:left="720"/>
        <w:rPr>
          <w:sz w:val="22"/>
          <w:szCs w:val="22"/>
        </w:rPr>
      </w:pPr>
      <w:r w:rsidRPr="00501920">
        <w:rPr>
          <w:sz w:val="22"/>
          <w:szCs w:val="22"/>
        </w:rPr>
        <w:t>The proposal site is a</w:t>
      </w:r>
      <w:r w:rsidR="007C6413" w:rsidRPr="00501920">
        <w:rPr>
          <w:sz w:val="22"/>
          <w:szCs w:val="22"/>
        </w:rPr>
        <w:t xml:space="preserve">n end of terrace </w:t>
      </w:r>
      <w:r w:rsidRPr="00501920">
        <w:rPr>
          <w:sz w:val="22"/>
          <w:szCs w:val="22"/>
        </w:rPr>
        <w:t xml:space="preserve">dwelling unit on the </w:t>
      </w:r>
      <w:r w:rsidR="007C6413" w:rsidRPr="00501920">
        <w:rPr>
          <w:sz w:val="22"/>
          <w:szCs w:val="22"/>
        </w:rPr>
        <w:t>southern</w:t>
      </w:r>
      <w:r w:rsidRPr="00501920">
        <w:rPr>
          <w:sz w:val="22"/>
          <w:szCs w:val="22"/>
        </w:rPr>
        <w:t xml:space="preserve"> side of </w:t>
      </w:r>
      <w:r w:rsidR="007C6413" w:rsidRPr="00501920">
        <w:rPr>
          <w:sz w:val="22"/>
          <w:szCs w:val="22"/>
        </w:rPr>
        <w:t>Grove Road</w:t>
      </w:r>
      <w:r w:rsidRPr="00501920">
        <w:rPr>
          <w:sz w:val="22"/>
          <w:szCs w:val="22"/>
        </w:rPr>
        <w:t xml:space="preserve">, </w:t>
      </w:r>
      <w:r w:rsidR="007C6413" w:rsidRPr="00501920">
        <w:rPr>
          <w:sz w:val="22"/>
          <w:szCs w:val="22"/>
        </w:rPr>
        <w:t>one of the two terraced buildings of similar style and size adjacent to each other</w:t>
      </w:r>
      <w:r w:rsidRPr="00501920">
        <w:rPr>
          <w:sz w:val="22"/>
          <w:szCs w:val="22"/>
        </w:rPr>
        <w:t>.</w:t>
      </w:r>
    </w:p>
    <w:p w:rsidR="007C6413" w:rsidRPr="00501920" w:rsidRDefault="007C6413" w:rsidP="00F9441C">
      <w:pPr>
        <w:ind w:left="720"/>
        <w:rPr>
          <w:noProof/>
          <w:sz w:val="22"/>
          <w:szCs w:val="22"/>
          <w:lang w:eastAsia="en-GB"/>
        </w:rPr>
      </w:pPr>
    </w:p>
    <w:p w:rsidR="007C6413" w:rsidRPr="00501920" w:rsidRDefault="002F01D5" w:rsidP="00F9441C">
      <w:pPr>
        <w:ind w:left="720"/>
        <w:rPr>
          <w:noProof/>
          <w:sz w:val="22"/>
          <w:szCs w:val="22"/>
          <w:lang w:eastAsia="en-GB"/>
        </w:rPr>
      </w:pPr>
      <w:r w:rsidRPr="00501920">
        <w:rPr>
          <w:noProof/>
          <w:sz w:val="22"/>
          <w:szCs w:val="22"/>
          <w:lang w:eastAsia="en-GB"/>
        </w:rPr>
        <w:drawing>
          <wp:inline distT="0" distB="0" distL="0" distR="0">
            <wp:extent cx="4937760" cy="28987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37760" cy="2898775"/>
                    </a:xfrm>
                    <a:prstGeom prst="rect">
                      <a:avLst/>
                    </a:prstGeom>
                    <a:noFill/>
                    <a:ln>
                      <a:noFill/>
                    </a:ln>
                  </pic:spPr>
                </pic:pic>
              </a:graphicData>
            </a:graphic>
          </wp:inline>
        </w:drawing>
      </w:r>
    </w:p>
    <w:p w:rsidR="00F9441C" w:rsidRPr="00501920" w:rsidRDefault="00F9441C" w:rsidP="00F9441C">
      <w:pPr>
        <w:ind w:left="720"/>
        <w:rPr>
          <w:noProof/>
          <w:sz w:val="22"/>
          <w:szCs w:val="22"/>
          <w:lang w:eastAsia="en-GB"/>
        </w:rPr>
      </w:pPr>
      <w:r w:rsidRPr="00501920">
        <w:rPr>
          <w:noProof/>
          <w:sz w:val="22"/>
          <w:szCs w:val="22"/>
          <w:lang w:eastAsia="en-GB"/>
        </w:rPr>
        <w:t xml:space="preserve">        </w:t>
      </w:r>
    </w:p>
    <w:p w:rsidR="00F9441C" w:rsidRPr="00501920" w:rsidRDefault="00F9441C" w:rsidP="00F9441C">
      <w:pPr>
        <w:ind w:left="720"/>
        <w:rPr>
          <w:sz w:val="22"/>
          <w:szCs w:val="22"/>
        </w:rPr>
      </w:pPr>
      <w:r w:rsidRPr="00501920">
        <w:rPr>
          <w:noProof/>
          <w:sz w:val="22"/>
          <w:szCs w:val="22"/>
          <w:lang w:eastAsia="en-GB"/>
        </w:rPr>
        <w:t xml:space="preserve">             </w:t>
      </w:r>
    </w:p>
    <w:p w:rsidR="00F9441C" w:rsidRPr="00501920" w:rsidRDefault="00F9441C" w:rsidP="00F9441C">
      <w:pPr>
        <w:ind w:left="720"/>
        <w:rPr>
          <w:sz w:val="22"/>
          <w:szCs w:val="22"/>
        </w:rPr>
      </w:pPr>
    </w:p>
    <w:p w:rsidR="00F9441C" w:rsidRPr="00501920" w:rsidRDefault="00F9441C" w:rsidP="00F9441C">
      <w:pPr>
        <w:pStyle w:val="Heading3"/>
        <w:ind w:left="720"/>
        <w:rPr>
          <w:rFonts w:ascii="Trebuchet MS" w:hAnsi="Trebuchet MS"/>
          <w:color w:val="000000"/>
          <w:szCs w:val="22"/>
        </w:rPr>
      </w:pPr>
      <w:r w:rsidRPr="00501920">
        <w:rPr>
          <w:rFonts w:ascii="Trebuchet MS" w:hAnsi="Trebuchet MS"/>
          <w:color w:val="000000"/>
          <w:szCs w:val="22"/>
        </w:rPr>
        <w:t>PROPOSAL</w:t>
      </w:r>
    </w:p>
    <w:p w:rsidR="00F9441C" w:rsidRPr="00501920" w:rsidRDefault="00F9441C" w:rsidP="00F9441C">
      <w:pPr>
        <w:ind w:left="720"/>
        <w:jc w:val="both"/>
        <w:rPr>
          <w:sz w:val="22"/>
          <w:szCs w:val="22"/>
        </w:rPr>
      </w:pPr>
      <w:r w:rsidRPr="00501920">
        <w:rPr>
          <w:sz w:val="22"/>
          <w:szCs w:val="22"/>
        </w:rPr>
        <w:t>The applicant has provided information on the proposed rear extension.  The extension proposed would:</w:t>
      </w:r>
    </w:p>
    <w:p w:rsidR="00F9441C" w:rsidRPr="00501920" w:rsidRDefault="00F9441C" w:rsidP="00F9441C">
      <w:pPr>
        <w:numPr>
          <w:ilvl w:val="0"/>
          <w:numId w:val="38"/>
        </w:numPr>
        <w:overflowPunct/>
        <w:autoSpaceDE/>
        <w:autoSpaceDN/>
        <w:adjustRightInd/>
        <w:ind w:left="1080"/>
        <w:textAlignment w:val="auto"/>
        <w:rPr>
          <w:sz w:val="22"/>
          <w:szCs w:val="22"/>
        </w:rPr>
      </w:pPr>
      <w:r w:rsidRPr="00501920">
        <w:rPr>
          <w:sz w:val="22"/>
          <w:szCs w:val="22"/>
        </w:rPr>
        <w:t>Extend beyond the rear wall of the original dwelling by 6m</w:t>
      </w:r>
    </w:p>
    <w:p w:rsidR="00F9441C" w:rsidRPr="00501920" w:rsidRDefault="00F9441C" w:rsidP="00F9441C">
      <w:pPr>
        <w:numPr>
          <w:ilvl w:val="0"/>
          <w:numId w:val="38"/>
        </w:numPr>
        <w:overflowPunct/>
        <w:autoSpaceDE/>
        <w:autoSpaceDN/>
        <w:adjustRightInd/>
        <w:ind w:left="1080"/>
        <w:contextualSpacing/>
        <w:textAlignment w:val="auto"/>
        <w:rPr>
          <w:sz w:val="22"/>
          <w:szCs w:val="22"/>
        </w:rPr>
      </w:pPr>
      <w:r w:rsidRPr="00501920">
        <w:rPr>
          <w:sz w:val="22"/>
          <w:szCs w:val="22"/>
        </w:rPr>
        <w:t>Have a maximum height of 3.6m</w:t>
      </w:r>
    </w:p>
    <w:p w:rsidR="00F9441C" w:rsidRPr="00501920" w:rsidRDefault="00F9441C" w:rsidP="00F9441C">
      <w:pPr>
        <w:numPr>
          <w:ilvl w:val="0"/>
          <w:numId w:val="38"/>
        </w:numPr>
        <w:overflowPunct/>
        <w:autoSpaceDE/>
        <w:autoSpaceDN/>
        <w:adjustRightInd/>
        <w:ind w:left="1080"/>
        <w:contextualSpacing/>
        <w:textAlignment w:val="auto"/>
        <w:rPr>
          <w:sz w:val="22"/>
          <w:szCs w:val="22"/>
        </w:rPr>
      </w:pPr>
      <w:r w:rsidRPr="00501920">
        <w:rPr>
          <w:sz w:val="22"/>
          <w:szCs w:val="22"/>
        </w:rPr>
        <w:t>Have an eaves height of 2.7m</w:t>
      </w:r>
    </w:p>
    <w:p w:rsidR="00F9441C" w:rsidRPr="00501920" w:rsidRDefault="00F9441C" w:rsidP="00F9441C">
      <w:pPr>
        <w:ind w:left="720"/>
        <w:rPr>
          <w:sz w:val="22"/>
          <w:szCs w:val="22"/>
        </w:rPr>
      </w:pPr>
    </w:p>
    <w:p w:rsidR="00501920" w:rsidRPr="00501920" w:rsidRDefault="00501920" w:rsidP="00501920">
      <w:pPr>
        <w:ind w:left="720"/>
        <w:jc w:val="both"/>
        <w:rPr>
          <w:color w:val="000000"/>
          <w:sz w:val="22"/>
          <w:szCs w:val="22"/>
        </w:rPr>
      </w:pPr>
      <w:r w:rsidRPr="00501920">
        <w:rPr>
          <w:color w:val="000000"/>
          <w:sz w:val="22"/>
          <w:szCs w:val="22"/>
        </w:rPr>
        <w:t>As such it is determined under Class A, Part 1 (g), of Schedule 2 to the Town and Country Planning (General Permitted Development) (England) Order 2015 (“the 2015 Order”) (as amended).  This allows the following (as long as the dwellinghouse is not on article 2 (3) land nor on a site of special scientific interest):</w:t>
      </w:r>
    </w:p>
    <w:p w:rsidR="00501920" w:rsidRPr="00501920" w:rsidRDefault="00501920" w:rsidP="00501920">
      <w:pPr>
        <w:ind w:left="720"/>
        <w:jc w:val="both"/>
        <w:rPr>
          <w:color w:val="000000"/>
          <w:sz w:val="22"/>
          <w:szCs w:val="22"/>
        </w:rPr>
      </w:pPr>
    </w:p>
    <w:p w:rsidR="00501920" w:rsidRPr="00501920" w:rsidRDefault="00501920" w:rsidP="00501920">
      <w:pPr>
        <w:ind w:left="1440"/>
        <w:jc w:val="both"/>
        <w:rPr>
          <w:i/>
          <w:color w:val="000000"/>
          <w:sz w:val="22"/>
          <w:szCs w:val="22"/>
        </w:rPr>
      </w:pPr>
      <w:r w:rsidRPr="00501920">
        <w:rPr>
          <w:i/>
          <w:color w:val="000000"/>
          <w:sz w:val="22"/>
          <w:szCs w:val="22"/>
        </w:rPr>
        <w:lastRenderedPageBreak/>
        <w:t xml:space="preserve">A single storey extension, beyond the rear wall of a semi-detached house, between 3m and 6m in depth, and up to 4m in height </w:t>
      </w:r>
    </w:p>
    <w:p w:rsidR="00501920" w:rsidRPr="00501920" w:rsidRDefault="00501920" w:rsidP="00501920">
      <w:pPr>
        <w:ind w:left="1440"/>
        <w:jc w:val="both"/>
        <w:rPr>
          <w:i/>
          <w:color w:val="000000"/>
          <w:sz w:val="22"/>
          <w:szCs w:val="22"/>
        </w:rPr>
      </w:pPr>
    </w:p>
    <w:p w:rsidR="00501920" w:rsidRPr="00501920" w:rsidRDefault="00501920" w:rsidP="00501920">
      <w:pPr>
        <w:ind w:left="1440"/>
        <w:jc w:val="both"/>
        <w:rPr>
          <w:i/>
          <w:color w:val="000000"/>
          <w:sz w:val="22"/>
          <w:szCs w:val="22"/>
        </w:rPr>
      </w:pPr>
      <w:r w:rsidRPr="00501920">
        <w:rPr>
          <w:i/>
          <w:color w:val="000000"/>
          <w:sz w:val="22"/>
          <w:szCs w:val="22"/>
        </w:rPr>
        <w:t>[n.b. max 3m in height to the eaves (part A1. (i) within 2m of a boundary]</w:t>
      </w:r>
    </w:p>
    <w:p w:rsidR="00501920" w:rsidRPr="00501920" w:rsidRDefault="00501920" w:rsidP="00501920">
      <w:pPr>
        <w:ind w:left="720"/>
        <w:jc w:val="both"/>
        <w:rPr>
          <w:color w:val="000000"/>
          <w:sz w:val="22"/>
          <w:szCs w:val="22"/>
        </w:rPr>
      </w:pPr>
    </w:p>
    <w:p w:rsidR="00501920" w:rsidRPr="00501920" w:rsidRDefault="00501920" w:rsidP="00501920">
      <w:pPr>
        <w:ind w:left="720"/>
        <w:jc w:val="both"/>
        <w:rPr>
          <w:color w:val="000000"/>
          <w:sz w:val="22"/>
          <w:szCs w:val="22"/>
        </w:rPr>
      </w:pPr>
      <w:r w:rsidRPr="00501920">
        <w:rPr>
          <w:color w:val="000000"/>
          <w:sz w:val="22"/>
          <w:szCs w:val="22"/>
        </w:rPr>
        <w:t xml:space="preserve">And provided the development is not excluded by virtue of the criteria in the remainder of Paragraph A.1 of the 2015 Order and in compliance with the following relevant conditions. </w:t>
      </w:r>
    </w:p>
    <w:p w:rsidR="00501920" w:rsidRPr="00501920" w:rsidRDefault="00501920" w:rsidP="00501920">
      <w:pPr>
        <w:ind w:left="720"/>
        <w:jc w:val="both"/>
        <w:rPr>
          <w:color w:val="000000"/>
          <w:sz w:val="22"/>
          <w:szCs w:val="22"/>
        </w:rPr>
      </w:pPr>
    </w:p>
    <w:p w:rsidR="00501920" w:rsidRPr="00501920" w:rsidRDefault="00501920" w:rsidP="00501920">
      <w:pPr>
        <w:ind w:left="720"/>
        <w:jc w:val="both"/>
        <w:rPr>
          <w:i/>
          <w:color w:val="000000"/>
          <w:sz w:val="22"/>
          <w:szCs w:val="22"/>
        </w:rPr>
      </w:pPr>
      <w:r w:rsidRPr="00501920">
        <w:rPr>
          <w:i/>
          <w:color w:val="000000"/>
          <w:sz w:val="22"/>
          <w:szCs w:val="22"/>
        </w:rPr>
        <w:t>Conditions</w:t>
      </w:r>
    </w:p>
    <w:p w:rsidR="00501920" w:rsidRPr="00501920" w:rsidRDefault="00501920" w:rsidP="00501920">
      <w:pPr>
        <w:ind w:left="720"/>
        <w:jc w:val="both"/>
        <w:rPr>
          <w:i/>
          <w:color w:val="000000"/>
          <w:sz w:val="22"/>
          <w:szCs w:val="22"/>
        </w:rPr>
      </w:pPr>
      <w:r w:rsidRPr="00501920">
        <w:rPr>
          <w:i/>
          <w:color w:val="000000"/>
          <w:sz w:val="22"/>
          <w:szCs w:val="22"/>
        </w:rPr>
        <w:t>A.3 Development is permitted by Class A subject to the following conditions- (a) the materials used in any exterior work (other than materials used in the construction of a conservatory) shall be of a similar appearance to those used in the construction of the exterior of the existing dwellinghouse</w:t>
      </w:r>
    </w:p>
    <w:p w:rsidR="00501920" w:rsidRPr="00501920" w:rsidRDefault="00501920" w:rsidP="00501920">
      <w:pPr>
        <w:ind w:left="720"/>
        <w:jc w:val="both"/>
        <w:rPr>
          <w:i/>
          <w:color w:val="000000"/>
          <w:sz w:val="22"/>
          <w:szCs w:val="22"/>
        </w:rPr>
      </w:pPr>
    </w:p>
    <w:p w:rsidR="00501920" w:rsidRPr="00501920" w:rsidRDefault="00501920" w:rsidP="00501920">
      <w:pPr>
        <w:ind w:left="720"/>
        <w:jc w:val="both"/>
        <w:rPr>
          <w:i/>
          <w:color w:val="000000"/>
          <w:sz w:val="22"/>
          <w:szCs w:val="22"/>
        </w:rPr>
      </w:pPr>
      <w:r w:rsidRPr="00501920">
        <w:rPr>
          <w:i/>
          <w:color w:val="000000"/>
          <w:sz w:val="22"/>
          <w:szCs w:val="22"/>
        </w:rPr>
        <w:t>b) any upper-floor window located in a wall or roof slope forming a side elevation of the dwellinghouse shall be -</w:t>
      </w:r>
    </w:p>
    <w:p w:rsidR="00501920" w:rsidRPr="00501920" w:rsidRDefault="00501920" w:rsidP="00501920">
      <w:pPr>
        <w:ind w:left="720"/>
        <w:jc w:val="both"/>
        <w:rPr>
          <w:i/>
          <w:color w:val="000000"/>
          <w:sz w:val="22"/>
          <w:szCs w:val="22"/>
        </w:rPr>
      </w:pPr>
      <w:r w:rsidRPr="00501920">
        <w:rPr>
          <w:i/>
          <w:color w:val="000000"/>
          <w:sz w:val="22"/>
          <w:szCs w:val="22"/>
        </w:rPr>
        <w:t>(i) obscure-glazed, and</w:t>
      </w:r>
    </w:p>
    <w:p w:rsidR="00501920" w:rsidRPr="00501920" w:rsidRDefault="00501920" w:rsidP="00501920">
      <w:pPr>
        <w:ind w:left="720"/>
        <w:jc w:val="both"/>
        <w:rPr>
          <w:i/>
          <w:color w:val="000000"/>
          <w:sz w:val="22"/>
          <w:szCs w:val="22"/>
        </w:rPr>
      </w:pPr>
      <w:r w:rsidRPr="00501920">
        <w:rPr>
          <w:i/>
          <w:color w:val="000000"/>
          <w:sz w:val="22"/>
          <w:szCs w:val="22"/>
        </w:rPr>
        <w:t>(ii) non-opening unless the parts of the window which can be opened are more than 1.7 metres above the floor of the room in which the window is installed</w:t>
      </w:r>
    </w:p>
    <w:p w:rsidR="00501920" w:rsidRPr="00501920" w:rsidRDefault="00501920" w:rsidP="00501920">
      <w:pPr>
        <w:ind w:left="720"/>
        <w:jc w:val="both"/>
        <w:rPr>
          <w:color w:val="000000"/>
          <w:sz w:val="22"/>
          <w:szCs w:val="22"/>
        </w:rPr>
      </w:pPr>
    </w:p>
    <w:p w:rsidR="00501920" w:rsidRPr="00501920" w:rsidRDefault="00501920" w:rsidP="00501920">
      <w:pPr>
        <w:ind w:left="720"/>
        <w:rPr>
          <w:sz w:val="22"/>
          <w:szCs w:val="22"/>
        </w:rPr>
      </w:pPr>
      <w:r w:rsidRPr="00501920">
        <w:rPr>
          <w:sz w:val="22"/>
          <w:szCs w:val="22"/>
        </w:rPr>
        <w:t>As the proposal would be within 2 metres of the boundary of the curtilage Paragraph A.1 (i) would also apply, which restricts the eaves to a maximum of 3m.</w:t>
      </w:r>
    </w:p>
    <w:p w:rsidR="00501920" w:rsidRPr="00501920" w:rsidRDefault="00501920" w:rsidP="00501920">
      <w:pPr>
        <w:ind w:left="720"/>
        <w:jc w:val="both"/>
        <w:rPr>
          <w:sz w:val="22"/>
          <w:szCs w:val="22"/>
        </w:rPr>
      </w:pPr>
    </w:p>
    <w:p w:rsidR="00501920" w:rsidRPr="00501920" w:rsidRDefault="00501920" w:rsidP="00501920">
      <w:pPr>
        <w:ind w:left="720"/>
        <w:jc w:val="both"/>
        <w:rPr>
          <w:color w:val="000000"/>
          <w:sz w:val="22"/>
          <w:szCs w:val="22"/>
        </w:rPr>
      </w:pPr>
      <w:r w:rsidRPr="00501920">
        <w:rPr>
          <w:sz w:val="22"/>
          <w:szCs w:val="22"/>
        </w:rPr>
        <w:t>T</w:t>
      </w:r>
      <w:r w:rsidRPr="00501920">
        <w:rPr>
          <w:color w:val="000000"/>
          <w:sz w:val="22"/>
          <w:szCs w:val="22"/>
        </w:rPr>
        <w:t xml:space="preserve">he application site is not within a Conservation Area nor have PD rights been withdrawn or restricted by way of a direction made under Article 4 or condition attached to an express planning permission. </w:t>
      </w:r>
    </w:p>
    <w:p w:rsidR="00501920" w:rsidRPr="00501920" w:rsidRDefault="00501920" w:rsidP="00501920">
      <w:pPr>
        <w:ind w:left="720"/>
        <w:jc w:val="both"/>
        <w:rPr>
          <w:color w:val="000000"/>
          <w:sz w:val="22"/>
          <w:szCs w:val="22"/>
        </w:rPr>
      </w:pPr>
      <w:r w:rsidRPr="00501920">
        <w:rPr>
          <w:color w:val="000000"/>
          <w:sz w:val="22"/>
          <w:szCs w:val="22"/>
        </w:rPr>
        <w:t>As such it is determined under Class A, Part 1 (g), of Schedule 2 to the Town and Country Planning (General Permitted Development) (England) Order 2015 (“the 2015 Order”) (as amended).  This allows the following (as long as the dwellinghouse is not on article 2 (3) land nor on a site of special scientific interest):</w:t>
      </w:r>
    </w:p>
    <w:p w:rsidR="00501920" w:rsidRPr="00501920" w:rsidRDefault="00501920" w:rsidP="00501920">
      <w:pPr>
        <w:ind w:left="720"/>
        <w:jc w:val="both"/>
        <w:rPr>
          <w:color w:val="000000"/>
          <w:sz w:val="22"/>
          <w:szCs w:val="22"/>
        </w:rPr>
      </w:pPr>
    </w:p>
    <w:p w:rsidR="00501920" w:rsidRPr="00501920" w:rsidRDefault="00501920" w:rsidP="00501920">
      <w:pPr>
        <w:ind w:left="1440"/>
        <w:jc w:val="both"/>
        <w:rPr>
          <w:i/>
          <w:color w:val="000000"/>
          <w:sz w:val="22"/>
          <w:szCs w:val="22"/>
        </w:rPr>
      </w:pPr>
      <w:r w:rsidRPr="00501920">
        <w:rPr>
          <w:i/>
          <w:color w:val="000000"/>
          <w:sz w:val="22"/>
          <w:szCs w:val="22"/>
        </w:rPr>
        <w:t xml:space="preserve">A single storey extension, beyond the rear wall of a semi-detached house, between 3m and 6m in depth, and up to 4m in height </w:t>
      </w:r>
    </w:p>
    <w:p w:rsidR="00501920" w:rsidRPr="00501920" w:rsidRDefault="00501920" w:rsidP="00501920">
      <w:pPr>
        <w:ind w:left="1440"/>
        <w:jc w:val="both"/>
        <w:rPr>
          <w:i/>
          <w:color w:val="000000"/>
          <w:sz w:val="22"/>
          <w:szCs w:val="22"/>
        </w:rPr>
      </w:pPr>
    </w:p>
    <w:p w:rsidR="00501920" w:rsidRPr="00501920" w:rsidRDefault="00501920" w:rsidP="00501920">
      <w:pPr>
        <w:ind w:left="1440"/>
        <w:jc w:val="both"/>
        <w:rPr>
          <w:i/>
          <w:color w:val="000000"/>
          <w:sz w:val="22"/>
          <w:szCs w:val="22"/>
        </w:rPr>
      </w:pPr>
      <w:r w:rsidRPr="00501920">
        <w:rPr>
          <w:i/>
          <w:color w:val="000000"/>
          <w:sz w:val="22"/>
          <w:szCs w:val="22"/>
        </w:rPr>
        <w:t>[n.b. max 3m in height to the eaves (part A1. (i) within 2m of a boundary]</w:t>
      </w:r>
    </w:p>
    <w:p w:rsidR="00501920" w:rsidRPr="00501920" w:rsidRDefault="00501920" w:rsidP="00501920">
      <w:pPr>
        <w:ind w:left="720"/>
        <w:jc w:val="both"/>
        <w:rPr>
          <w:color w:val="000000"/>
          <w:sz w:val="22"/>
          <w:szCs w:val="22"/>
        </w:rPr>
      </w:pPr>
    </w:p>
    <w:p w:rsidR="00501920" w:rsidRPr="00501920" w:rsidRDefault="00501920" w:rsidP="00501920">
      <w:pPr>
        <w:ind w:left="720"/>
        <w:jc w:val="both"/>
        <w:rPr>
          <w:color w:val="000000"/>
          <w:sz w:val="22"/>
          <w:szCs w:val="22"/>
        </w:rPr>
      </w:pPr>
      <w:r w:rsidRPr="00501920">
        <w:rPr>
          <w:color w:val="000000"/>
          <w:sz w:val="22"/>
          <w:szCs w:val="22"/>
        </w:rPr>
        <w:t xml:space="preserve">And provided the development is not excluded by virtue of the criteria in the remainder of Paragraph A.1 of the 2015 Order and in compliance with the following relevant conditions. </w:t>
      </w:r>
    </w:p>
    <w:p w:rsidR="00501920" w:rsidRPr="00501920" w:rsidRDefault="00501920" w:rsidP="00501920">
      <w:pPr>
        <w:ind w:left="720"/>
        <w:jc w:val="both"/>
        <w:rPr>
          <w:color w:val="000000"/>
          <w:sz w:val="22"/>
          <w:szCs w:val="22"/>
        </w:rPr>
      </w:pPr>
    </w:p>
    <w:p w:rsidR="00501920" w:rsidRPr="00501920" w:rsidRDefault="00501920" w:rsidP="00501920">
      <w:pPr>
        <w:ind w:left="720"/>
        <w:jc w:val="both"/>
        <w:rPr>
          <w:i/>
          <w:color w:val="000000"/>
          <w:sz w:val="22"/>
          <w:szCs w:val="22"/>
        </w:rPr>
      </w:pPr>
      <w:r w:rsidRPr="00501920">
        <w:rPr>
          <w:i/>
          <w:color w:val="000000"/>
          <w:sz w:val="22"/>
          <w:szCs w:val="22"/>
        </w:rPr>
        <w:t>Conditions</w:t>
      </w:r>
    </w:p>
    <w:p w:rsidR="00501920" w:rsidRPr="00501920" w:rsidRDefault="00501920" w:rsidP="00501920">
      <w:pPr>
        <w:ind w:left="720"/>
        <w:jc w:val="both"/>
        <w:rPr>
          <w:i/>
          <w:color w:val="000000"/>
          <w:sz w:val="22"/>
          <w:szCs w:val="22"/>
        </w:rPr>
      </w:pPr>
      <w:r w:rsidRPr="00501920">
        <w:rPr>
          <w:i/>
          <w:color w:val="000000"/>
          <w:sz w:val="22"/>
          <w:szCs w:val="22"/>
        </w:rPr>
        <w:t>A.3 Development is permitted by Class A subject to the following conditions- (a) the materials used in any exterior work (other than materials used in the construction of a conservatory) shall be of a similar appearance to those used in the construction of the exterior of the existing dwellinghouse</w:t>
      </w:r>
    </w:p>
    <w:p w:rsidR="00501920" w:rsidRPr="00501920" w:rsidRDefault="00501920" w:rsidP="00501920">
      <w:pPr>
        <w:ind w:left="720"/>
        <w:jc w:val="both"/>
        <w:rPr>
          <w:i/>
          <w:color w:val="000000"/>
          <w:sz w:val="22"/>
          <w:szCs w:val="22"/>
        </w:rPr>
      </w:pPr>
    </w:p>
    <w:p w:rsidR="00501920" w:rsidRPr="00501920" w:rsidRDefault="00501920" w:rsidP="00501920">
      <w:pPr>
        <w:ind w:left="720"/>
        <w:jc w:val="both"/>
        <w:rPr>
          <w:i/>
          <w:color w:val="000000"/>
          <w:sz w:val="22"/>
          <w:szCs w:val="22"/>
        </w:rPr>
      </w:pPr>
      <w:r w:rsidRPr="00501920">
        <w:rPr>
          <w:i/>
          <w:color w:val="000000"/>
          <w:sz w:val="22"/>
          <w:szCs w:val="22"/>
        </w:rPr>
        <w:t>b) any upper-floor window located in a wall or roof slope forming a side elevation of the dwellinghouse shall be -</w:t>
      </w:r>
    </w:p>
    <w:p w:rsidR="00501920" w:rsidRPr="00501920" w:rsidRDefault="00501920" w:rsidP="00501920">
      <w:pPr>
        <w:ind w:left="720"/>
        <w:jc w:val="both"/>
        <w:rPr>
          <w:i/>
          <w:color w:val="000000"/>
          <w:sz w:val="22"/>
          <w:szCs w:val="22"/>
        </w:rPr>
      </w:pPr>
      <w:r w:rsidRPr="00501920">
        <w:rPr>
          <w:i/>
          <w:color w:val="000000"/>
          <w:sz w:val="22"/>
          <w:szCs w:val="22"/>
        </w:rPr>
        <w:t>(i) obscure-glazed, and</w:t>
      </w:r>
    </w:p>
    <w:p w:rsidR="00501920" w:rsidRPr="00501920" w:rsidRDefault="00501920" w:rsidP="00501920">
      <w:pPr>
        <w:ind w:left="720"/>
        <w:jc w:val="both"/>
        <w:rPr>
          <w:i/>
          <w:color w:val="000000"/>
          <w:sz w:val="22"/>
          <w:szCs w:val="22"/>
        </w:rPr>
      </w:pPr>
      <w:r w:rsidRPr="00501920">
        <w:rPr>
          <w:i/>
          <w:color w:val="000000"/>
          <w:sz w:val="22"/>
          <w:szCs w:val="22"/>
        </w:rPr>
        <w:t>(ii) non-opening unless the parts of the window which can be opened are more than 1.7 metres above the floor of the room in which the window is installed</w:t>
      </w:r>
    </w:p>
    <w:p w:rsidR="00501920" w:rsidRPr="00501920" w:rsidRDefault="00501920" w:rsidP="00501920">
      <w:pPr>
        <w:ind w:left="720"/>
        <w:jc w:val="both"/>
        <w:rPr>
          <w:color w:val="000000"/>
          <w:sz w:val="22"/>
          <w:szCs w:val="22"/>
        </w:rPr>
      </w:pPr>
    </w:p>
    <w:p w:rsidR="00501920" w:rsidRPr="00501920" w:rsidRDefault="00501920" w:rsidP="00501920">
      <w:pPr>
        <w:ind w:left="720"/>
        <w:rPr>
          <w:sz w:val="22"/>
          <w:szCs w:val="22"/>
        </w:rPr>
      </w:pPr>
      <w:r w:rsidRPr="00501920">
        <w:rPr>
          <w:sz w:val="22"/>
          <w:szCs w:val="22"/>
        </w:rPr>
        <w:lastRenderedPageBreak/>
        <w:t>As the proposal would be within 2 metres of the boundary of the curtilage Paragraph A.1 (i) would also apply, which restricts the eaves to a maximum of 3m.</w:t>
      </w:r>
    </w:p>
    <w:p w:rsidR="00501920" w:rsidRPr="00501920" w:rsidRDefault="00501920" w:rsidP="00501920">
      <w:pPr>
        <w:ind w:left="720"/>
        <w:jc w:val="both"/>
        <w:rPr>
          <w:sz w:val="22"/>
          <w:szCs w:val="22"/>
        </w:rPr>
      </w:pPr>
    </w:p>
    <w:p w:rsidR="00501920" w:rsidRPr="00501920" w:rsidRDefault="00501920" w:rsidP="00501920">
      <w:pPr>
        <w:ind w:left="720"/>
        <w:jc w:val="both"/>
        <w:rPr>
          <w:color w:val="000000"/>
          <w:sz w:val="22"/>
          <w:szCs w:val="22"/>
        </w:rPr>
      </w:pPr>
      <w:r w:rsidRPr="00501920">
        <w:rPr>
          <w:sz w:val="22"/>
          <w:szCs w:val="22"/>
        </w:rPr>
        <w:t>T</w:t>
      </w:r>
      <w:r w:rsidRPr="00501920">
        <w:rPr>
          <w:color w:val="000000"/>
          <w:sz w:val="22"/>
          <w:szCs w:val="22"/>
        </w:rPr>
        <w:t xml:space="preserve">he application site is not within a Conservation Area nor have PD rights been withdrawn or restricted by way of a direction made under Article 4 or condition attached to an express planning permission. </w:t>
      </w:r>
    </w:p>
    <w:p w:rsidR="00F9441C" w:rsidRPr="00501920" w:rsidRDefault="00F9441C" w:rsidP="00F9441C">
      <w:pPr>
        <w:ind w:left="720"/>
        <w:jc w:val="both"/>
        <w:rPr>
          <w:color w:val="000000"/>
          <w:sz w:val="22"/>
          <w:szCs w:val="22"/>
        </w:rPr>
      </w:pPr>
    </w:p>
    <w:p w:rsidR="00F9441C" w:rsidRPr="00501920" w:rsidRDefault="00F9441C" w:rsidP="00F9441C">
      <w:pPr>
        <w:ind w:left="720"/>
        <w:jc w:val="both"/>
        <w:rPr>
          <w:b/>
          <w:color w:val="000000"/>
          <w:sz w:val="22"/>
          <w:szCs w:val="22"/>
          <w:u w:val="single"/>
        </w:rPr>
      </w:pPr>
      <w:r w:rsidRPr="00501920">
        <w:rPr>
          <w:b/>
          <w:color w:val="000000"/>
          <w:sz w:val="22"/>
          <w:szCs w:val="22"/>
          <w:u w:val="single"/>
        </w:rPr>
        <w:t>PLANS SUBMITTED</w:t>
      </w:r>
    </w:p>
    <w:p w:rsidR="00F9441C" w:rsidRPr="00501920" w:rsidRDefault="00F9441C" w:rsidP="00F9441C">
      <w:pPr>
        <w:ind w:left="720"/>
        <w:jc w:val="both"/>
        <w:rPr>
          <w:color w:val="000000"/>
          <w:sz w:val="22"/>
          <w:szCs w:val="22"/>
        </w:rPr>
      </w:pPr>
      <w:r w:rsidRPr="00501920">
        <w:rPr>
          <w:color w:val="000000"/>
          <w:sz w:val="22"/>
          <w:szCs w:val="22"/>
        </w:rPr>
        <w:t>The applicant submitted the following drawings. Received on 2</w:t>
      </w:r>
      <w:r w:rsidR="004A1CAD" w:rsidRPr="00501920">
        <w:rPr>
          <w:color w:val="000000"/>
          <w:sz w:val="22"/>
          <w:szCs w:val="22"/>
        </w:rPr>
        <w:t>2</w:t>
      </w:r>
      <w:r w:rsidR="004A1CAD" w:rsidRPr="00501920">
        <w:rPr>
          <w:color w:val="000000"/>
          <w:sz w:val="22"/>
          <w:szCs w:val="22"/>
          <w:vertAlign w:val="superscript"/>
        </w:rPr>
        <w:t>nd</w:t>
      </w:r>
      <w:r w:rsidR="004A1CAD" w:rsidRPr="00501920">
        <w:rPr>
          <w:color w:val="000000"/>
          <w:sz w:val="22"/>
          <w:szCs w:val="22"/>
        </w:rPr>
        <w:t xml:space="preserve"> March 2022</w:t>
      </w:r>
      <w:r w:rsidRPr="00501920">
        <w:rPr>
          <w:color w:val="000000"/>
          <w:sz w:val="22"/>
          <w:szCs w:val="22"/>
        </w:rPr>
        <w:t>:</w:t>
      </w:r>
    </w:p>
    <w:p w:rsidR="00CD16C2" w:rsidRPr="00501920" w:rsidRDefault="00CD16C2" w:rsidP="00CD16C2">
      <w:pPr>
        <w:pStyle w:val="BodyText"/>
        <w:ind w:left="720"/>
        <w:jc w:val="both"/>
        <w:rPr>
          <w:rFonts w:ascii="Trebuchet MS" w:hAnsi="Trebuchet MS" w:cs="HelveticaNeue"/>
          <w:b w:val="0"/>
          <w:color w:val="000000"/>
          <w:sz w:val="22"/>
          <w:szCs w:val="22"/>
          <w:lang w:eastAsia="en-GB"/>
        </w:rPr>
      </w:pPr>
      <w:r w:rsidRPr="00501920">
        <w:rPr>
          <w:rFonts w:ascii="Trebuchet MS" w:hAnsi="Trebuchet MS" w:cs="HelveticaNeue"/>
          <w:b w:val="0"/>
          <w:color w:val="000000"/>
          <w:sz w:val="22"/>
          <w:szCs w:val="22"/>
          <w:lang w:eastAsia="en-GB"/>
        </w:rPr>
        <w:t>PA-01: Site Location Plan and Photos</w:t>
      </w:r>
    </w:p>
    <w:p w:rsidR="00CD16C2" w:rsidRPr="00501920" w:rsidRDefault="00CD16C2" w:rsidP="00CD16C2">
      <w:pPr>
        <w:pStyle w:val="BodyText"/>
        <w:ind w:left="720"/>
        <w:jc w:val="both"/>
        <w:rPr>
          <w:rFonts w:ascii="Trebuchet MS" w:hAnsi="Trebuchet MS" w:cs="HelveticaNeue"/>
          <w:b w:val="0"/>
          <w:color w:val="000000"/>
          <w:sz w:val="22"/>
          <w:szCs w:val="22"/>
          <w:lang w:eastAsia="en-GB"/>
        </w:rPr>
      </w:pPr>
      <w:r w:rsidRPr="00501920">
        <w:rPr>
          <w:rFonts w:ascii="Trebuchet MS" w:hAnsi="Trebuchet MS" w:cs="HelveticaNeue"/>
          <w:b w:val="0"/>
          <w:color w:val="000000"/>
          <w:sz w:val="22"/>
          <w:szCs w:val="22"/>
          <w:lang w:eastAsia="en-GB"/>
        </w:rPr>
        <w:t>PA-02: Existing and Proposed Ground Floor Plans</w:t>
      </w:r>
    </w:p>
    <w:p w:rsidR="00CD16C2" w:rsidRPr="00501920" w:rsidRDefault="00CD16C2" w:rsidP="00CD16C2">
      <w:pPr>
        <w:overflowPunct/>
        <w:ind w:left="720"/>
        <w:textAlignment w:val="auto"/>
        <w:rPr>
          <w:rFonts w:cs="Verdana-Bold"/>
          <w:bCs/>
          <w:color w:val="818181"/>
          <w:sz w:val="22"/>
          <w:szCs w:val="22"/>
          <w:lang w:eastAsia="en-GB"/>
        </w:rPr>
      </w:pPr>
      <w:r w:rsidRPr="00501920">
        <w:rPr>
          <w:rFonts w:cs="HelveticaNeue"/>
          <w:color w:val="000000"/>
          <w:sz w:val="22"/>
          <w:szCs w:val="22"/>
          <w:lang w:eastAsia="en-GB"/>
        </w:rPr>
        <w:t>PA-03: E</w:t>
      </w:r>
      <w:r w:rsidRPr="00501920">
        <w:rPr>
          <w:rFonts w:cs="Verdana-Bold"/>
          <w:bCs/>
          <w:color w:val="818181"/>
          <w:sz w:val="22"/>
          <w:szCs w:val="22"/>
          <w:lang w:eastAsia="en-GB"/>
        </w:rPr>
        <w:t>xisting &amp; Proposed Rear &amp; Flank wall Elevations</w:t>
      </w:r>
    </w:p>
    <w:p w:rsidR="00CD16C2" w:rsidRPr="00501920" w:rsidRDefault="00CD16C2" w:rsidP="00CD16C2">
      <w:pPr>
        <w:overflowPunct/>
        <w:ind w:left="720"/>
        <w:textAlignment w:val="auto"/>
        <w:rPr>
          <w:rFonts w:cs="HelveticaNeue"/>
          <w:color w:val="000000"/>
          <w:sz w:val="22"/>
          <w:szCs w:val="22"/>
          <w:lang w:eastAsia="en-GB"/>
        </w:rPr>
      </w:pPr>
      <w:r w:rsidRPr="00501920">
        <w:rPr>
          <w:rFonts w:cs="HelveticaNeue"/>
          <w:color w:val="000000"/>
          <w:sz w:val="22"/>
          <w:szCs w:val="22"/>
          <w:lang w:eastAsia="en-GB"/>
        </w:rPr>
        <w:t>PA-04: Existing and Proposed Roof Plan</w:t>
      </w:r>
    </w:p>
    <w:p w:rsidR="00CD16C2" w:rsidRPr="00501920" w:rsidRDefault="00CD16C2" w:rsidP="00CD16C2">
      <w:pPr>
        <w:pStyle w:val="BodyText"/>
        <w:ind w:left="720"/>
        <w:jc w:val="both"/>
        <w:rPr>
          <w:rFonts w:ascii="Trebuchet MS" w:hAnsi="Trebuchet MS" w:cs="HelveticaNeue"/>
          <w:b w:val="0"/>
          <w:color w:val="000000"/>
          <w:sz w:val="22"/>
          <w:szCs w:val="22"/>
          <w:lang w:eastAsia="en-GB"/>
        </w:rPr>
      </w:pPr>
      <w:r w:rsidRPr="00501920">
        <w:rPr>
          <w:rFonts w:ascii="Trebuchet MS" w:hAnsi="Trebuchet MS" w:cs="HelveticaNeue"/>
          <w:b w:val="0"/>
          <w:color w:val="000000"/>
          <w:sz w:val="22"/>
          <w:szCs w:val="22"/>
          <w:lang w:eastAsia="en-GB"/>
        </w:rPr>
        <w:t>PA-05: Proposed Block Plan</w:t>
      </w:r>
    </w:p>
    <w:p w:rsidR="00CD16C2" w:rsidRPr="00501920" w:rsidRDefault="00CD16C2" w:rsidP="00CD16C2">
      <w:pPr>
        <w:overflowPunct/>
        <w:ind w:left="720"/>
        <w:textAlignment w:val="auto"/>
        <w:rPr>
          <w:rFonts w:cs="Verdana-Bold"/>
          <w:bCs/>
          <w:color w:val="818181"/>
          <w:sz w:val="22"/>
          <w:szCs w:val="22"/>
          <w:lang w:eastAsia="en-GB"/>
        </w:rPr>
      </w:pPr>
    </w:p>
    <w:p w:rsidR="00CD16C2" w:rsidRPr="00501920" w:rsidRDefault="00CD16C2" w:rsidP="00CD16C2">
      <w:pPr>
        <w:pStyle w:val="BodyText"/>
        <w:ind w:left="720"/>
        <w:jc w:val="both"/>
        <w:rPr>
          <w:rFonts w:ascii="Trebuchet MS" w:hAnsi="Trebuchet MS" w:cs="HelveticaNeue"/>
          <w:b w:val="0"/>
          <w:color w:val="000000"/>
          <w:sz w:val="22"/>
          <w:szCs w:val="22"/>
          <w:lang w:eastAsia="en-GB"/>
        </w:rPr>
      </w:pPr>
    </w:p>
    <w:p w:rsidR="00F9441C" w:rsidRPr="00501920" w:rsidRDefault="00F9441C" w:rsidP="002374BB">
      <w:pPr>
        <w:ind w:left="720"/>
        <w:jc w:val="both"/>
        <w:rPr>
          <w:b/>
          <w:bCs/>
          <w:color w:val="000000"/>
          <w:sz w:val="22"/>
          <w:szCs w:val="22"/>
          <w:u w:val="single"/>
        </w:rPr>
      </w:pPr>
      <w:r w:rsidRPr="00501920">
        <w:rPr>
          <w:b/>
          <w:bCs/>
          <w:color w:val="000000"/>
          <w:sz w:val="22"/>
          <w:szCs w:val="22"/>
          <w:u w:val="single"/>
        </w:rPr>
        <w:t>PLANNING HISTORY</w:t>
      </w:r>
    </w:p>
    <w:p w:rsidR="00F9441C" w:rsidRPr="00501920" w:rsidRDefault="00F9441C" w:rsidP="00F9441C">
      <w:pPr>
        <w:ind w:left="720"/>
        <w:jc w:val="both"/>
        <w:rPr>
          <w:color w:val="000000"/>
          <w:sz w:val="22"/>
          <w:szCs w:val="22"/>
        </w:rPr>
      </w:pPr>
      <w:r w:rsidRPr="00501920">
        <w:rPr>
          <w:color w:val="000000"/>
          <w:sz w:val="22"/>
          <w:szCs w:val="22"/>
        </w:rPr>
        <w:t>None.</w:t>
      </w:r>
    </w:p>
    <w:p w:rsidR="00F9441C" w:rsidRPr="00501920" w:rsidRDefault="00F9441C" w:rsidP="00F9441C">
      <w:pPr>
        <w:ind w:left="720"/>
        <w:jc w:val="both"/>
        <w:rPr>
          <w:b/>
          <w:color w:val="000000"/>
          <w:sz w:val="22"/>
          <w:szCs w:val="22"/>
          <w:u w:val="single"/>
        </w:rPr>
      </w:pPr>
    </w:p>
    <w:p w:rsidR="00F9441C" w:rsidRPr="00501920" w:rsidRDefault="00F9441C" w:rsidP="00F9441C">
      <w:pPr>
        <w:ind w:left="720"/>
        <w:jc w:val="both"/>
        <w:rPr>
          <w:b/>
          <w:color w:val="000000"/>
          <w:sz w:val="22"/>
          <w:szCs w:val="22"/>
          <w:u w:val="single"/>
        </w:rPr>
      </w:pPr>
      <w:r w:rsidRPr="00501920">
        <w:rPr>
          <w:b/>
          <w:color w:val="000000"/>
          <w:sz w:val="22"/>
          <w:szCs w:val="22"/>
          <w:u w:val="single"/>
        </w:rPr>
        <w:t>NOTIFICATION</w:t>
      </w:r>
    </w:p>
    <w:p w:rsidR="00F9441C" w:rsidRPr="00501920" w:rsidRDefault="00F9441C" w:rsidP="00F9441C">
      <w:pPr>
        <w:ind w:left="720"/>
        <w:jc w:val="both"/>
        <w:rPr>
          <w:color w:val="000000"/>
          <w:sz w:val="22"/>
          <w:szCs w:val="22"/>
        </w:rPr>
      </w:pPr>
      <w:r w:rsidRPr="00501920">
        <w:rPr>
          <w:color w:val="000000"/>
          <w:sz w:val="22"/>
          <w:szCs w:val="22"/>
        </w:rPr>
        <w:t xml:space="preserve">In accordance with the relevant provision of the GPDO 2015 Order, as amended, the LPA notified on </w:t>
      </w:r>
      <w:r w:rsidR="00680694" w:rsidRPr="00501920">
        <w:rPr>
          <w:color w:val="000000"/>
          <w:sz w:val="22"/>
          <w:szCs w:val="22"/>
        </w:rPr>
        <w:t>29</w:t>
      </w:r>
      <w:r w:rsidR="00680694" w:rsidRPr="00501920">
        <w:rPr>
          <w:color w:val="000000"/>
          <w:sz w:val="22"/>
          <w:szCs w:val="22"/>
          <w:vertAlign w:val="superscript"/>
        </w:rPr>
        <w:t>th</w:t>
      </w:r>
      <w:r w:rsidR="00680694" w:rsidRPr="00501920">
        <w:rPr>
          <w:color w:val="000000"/>
          <w:sz w:val="22"/>
          <w:szCs w:val="22"/>
        </w:rPr>
        <w:t xml:space="preserve"> March 2022</w:t>
      </w:r>
      <w:r w:rsidRPr="00501920">
        <w:rPr>
          <w:color w:val="000000"/>
          <w:sz w:val="22"/>
          <w:szCs w:val="22"/>
        </w:rPr>
        <w:t xml:space="preserve"> the adjoining owners and occupiers at </w:t>
      </w:r>
      <w:r w:rsidR="00CD16C2" w:rsidRPr="00501920">
        <w:rPr>
          <w:color w:val="000000"/>
          <w:sz w:val="22"/>
          <w:szCs w:val="22"/>
        </w:rPr>
        <w:t>97 Grove Road, Flats 1 and 2 of 93 Grove Road</w:t>
      </w:r>
      <w:r w:rsidRPr="00501920">
        <w:rPr>
          <w:color w:val="000000"/>
          <w:sz w:val="22"/>
          <w:szCs w:val="22"/>
        </w:rPr>
        <w:t xml:space="preserve"> of the proposed extension providing a period of 21-days for representations to be made. The 21-day consultation period expired on </w:t>
      </w:r>
      <w:r w:rsidR="00680694" w:rsidRPr="00501920">
        <w:rPr>
          <w:color w:val="000000"/>
          <w:sz w:val="22"/>
          <w:szCs w:val="22"/>
        </w:rPr>
        <w:t>19</w:t>
      </w:r>
      <w:r w:rsidR="00680694" w:rsidRPr="00501920">
        <w:rPr>
          <w:color w:val="000000"/>
          <w:sz w:val="22"/>
          <w:szCs w:val="22"/>
          <w:vertAlign w:val="superscript"/>
        </w:rPr>
        <w:t>th</w:t>
      </w:r>
      <w:r w:rsidR="00680694" w:rsidRPr="00501920">
        <w:rPr>
          <w:color w:val="000000"/>
          <w:sz w:val="22"/>
          <w:szCs w:val="22"/>
        </w:rPr>
        <w:t xml:space="preserve"> April 2022</w:t>
      </w:r>
      <w:r w:rsidRPr="00501920">
        <w:rPr>
          <w:color w:val="000000"/>
          <w:sz w:val="22"/>
          <w:szCs w:val="22"/>
        </w:rPr>
        <w:t xml:space="preserve">.  </w:t>
      </w:r>
    </w:p>
    <w:p w:rsidR="00F9441C" w:rsidRPr="00501920" w:rsidRDefault="00F9441C" w:rsidP="00F9441C">
      <w:pPr>
        <w:ind w:left="720"/>
        <w:jc w:val="both"/>
        <w:rPr>
          <w:color w:val="000000"/>
          <w:sz w:val="22"/>
          <w:szCs w:val="22"/>
        </w:rPr>
      </w:pPr>
      <w:r w:rsidRPr="00501920">
        <w:rPr>
          <w:color w:val="000000"/>
          <w:sz w:val="22"/>
          <w:szCs w:val="22"/>
        </w:rPr>
        <w:t>No letters of representation have been received.</w:t>
      </w:r>
    </w:p>
    <w:p w:rsidR="00F9441C" w:rsidRPr="00501920" w:rsidRDefault="00F9441C" w:rsidP="00F9441C">
      <w:pPr>
        <w:ind w:left="720"/>
        <w:jc w:val="both"/>
        <w:rPr>
          <w:color w:val="000000"/>
          <w:sz w:val="22"/>
          <w:szCs w:val="22"/>
        </w:rPr>
      </w:pPr>
      <w:r w:rsidRPr="00501920">
        <w:rPr>
          <w:color w:val="000000"/>
          <w:sz w:val="22"/>
          <w:szCs w:val="22"/>
        </w:rPr>
        <w:t xml:space="preserve">  </w:t>
      </w:r>
    </w:p>
    <w:p w:rsidR="00F9441C" w:rsidRPr="00501920" w:rsidRDefault="00F9441C" w:rsidP="00F9441C">
      <w:pPr>
        <w:ind w:left="720"/>
        <w:jc w:val="both"/>
        <w:rPr>
          <w:color w:val="000000"/>
          <w:sz w:val="22"/>
          <w:szCs w:val="22"/>
        </w:rPr>
      </w:pPr>
      <w:r w:rsidRPr="00501920">
        <w:rPr>
          <w:color w:val="000000"/>
          <w:sz w:val="22"/>
          <w:szCs w:val="22"/>
        </w:rPr>
        <w:t>As such, because there have been no objections, the proposed extension is Permitted Development under the 2015 Order, as amended.</w:t>
      </w:r>
    </w:p>
    <w:p w:rsidR="00F9441C" w:rsidRPr="00501920" w:rsidRDefault="00F9441C" w:rsidP="00F9441C">
      <w:pPr>
        <w:ind w:left="720"/>
        <w:jc w:val="both"/>
        <w:rPr>
          <w:color w:val="000000"/>
          <w:sz w:val="22"/>
          <w:szCs w:val="22"/>
        </w:rPr>
      </w:pPr>
    </w:p>
    <w:p w:rsidR="00F9441C" w:rsidRPr="00501920" w:rsidRDefault="00F9441C" w:rsidP="00F9441C">
      <w:pPr>
        <w:ind w:left="720"/>
        <w:jc w:val="both"/>
        <w:rPr>
          <w:color w:val="000000"/>
          <w:sz w:val="22"/>
          <w:szCs w:val="22"/>
        </w:rPr>
      </w:pPr>
      <w:r w:rsidRPr="00501920">
        <w:rPr>
          <w:color w:val="000000"/>
          <w:sz w:val="22"/>
          <w:szCs w:val="22"/>
        </w:rPr>
        <w:t xml:space="preserve">Notification is provided that Prior Approval is not required.  </w:t>
      </w:r>
    </w:p>
    <w:p w:rsidR="00F9441C" w:rsidRPr="00501920" w:rsidRDefault="00F9441C" w:rsidP="00F9441C">
      <w:pPr>
        <w:ind w:left="720"/>
        <w:jc w:val="both"/>
        <w:rPr>
          <w:color w:val="000000"/>
          <w:sz w:val="22"/>
          <w:szCs w:val="22"/>
        </w:rPr>
      </w:pPr>
    </w:p>
    <w:p w:rsidR="00F9441C" w:rsidRPr="00501920" w:rsidRDefault="00F9441C" w:rsidP="00F9441C">
      <w:pPr>
        <w:ind w:left="720"/>
        <w:jc w:val="both"/>
        <w:rPr>
          <w:color w:val="000000"/>
          <w:sz w:val="22"/>
          <w:szCs w:val="22"/>
        </w:rPr>
      </w:pPr>
      <w:r w:rsidRPr="00501920">
        <w:rPr>
          <w:color w:val="000000"/>
          <w:sz w:val="22"/>
          <w:szCs w:val="22"/>
        </w:rPr>
        <w:t xml:space="preserve">The extension must be carried out in accordance with the information provided to the LPA (depth </w:t>
      </w:r>
      <w:r w:rsidR="00680694" w:rsidRPr="00501920">
        <w:rPr>
          <w:color w:val="000000"/>
          <w:sz w:val="22"/>
          <w:szCs w:val="22"/>
        </w:rPr>
        <w:t>6</w:t>
      </w:r>
      <w:r w:rsidRPr="00501920">
        <w:rPr>
          <w:color w:val="000000"/>
          <w:sz w:val="22"/>
          <w:szCs w:val="22"/>
        </w:rPr>
        <w:t xml:space="preserve">m, max height </w:t>
      </w:r>
      <w:r w:rsidR="00680694" w:rsidRPr="00501920">
        <w:rPr>
          <w:color w:val="000000"/>
          <w:sz w:val="22"/>
          <w:szCs w:val="22"/>
        </w:rPr>
        <w:t>3.6</w:t>
      </w:r>
      <w:r w:rsidRPr="00501920">
        <w:rPr>
          <w:color w:val="000000"/>
          <w:sz w:val="22"/>
          <w:szCs w:val="22"/>
        </w:rPr>
        <w:t xml:space="preserve">m, eaves </w:t>
      </w:r>
      <w:r w:rsidR="00680694" w:rsidRPr="00501920">
        <w:rPr>
          <w:color w:val="000000"/>
          <w:sz w:val="22"/>
          <w:szCs w:val="22"/>
        </w:rPr>
        <w:t>2.7</w:t>
      </w:r>
      <w:r w:rsidRPr="00501920">
        <w:rPr>
          <w:color w:val="000000"/>
          <w:sz w:val="22"/>
          <w:szCs w:val="22"/>
        </w:rPr>
        <w:t>m).</w:t>
      </w:r>
    </w:p>
    <w:p w:rsidR="00F9441C" w:rsidRPr="00501920" w:rsidRDefault="00F9441C" w:rsidP="00F9441C">
      <w:pPr>
        <w:ind w:left="720"/>
        <w:jc w:val="both"/>
        <w:rPr>
          <w:color w:val="000000"/>
          <w:sz w:val="22"/>
          <w:szCs w:val="22"/>
          <w:u w:val="single"/>
        </w:rPr>
      </w:pPr>
    </w:p>
    <w:p w:rsidR="00F9441C" w:rsidRPr="00501920" w:rsidRDefault="00F9441C" w:rsidP="00F9441C">
      <w:pPr>
        <w:ind w:left="720"/>
        <w:jc w:val="both"/>
        <w:rPr>
          <w:b/>
          <w:color w:val="000000"/>
          <w:sz w:val="22"/>
          <w:szCs w:val="22"/>
          <w:u w:val="single"/>
        </w:rPr>
      </w:pPr>
      <w:r w:rsidRPr="00501920">
        <w:rPr>
          <w:b/>
          <w:color w:val="000000"/>
          <w:sz w:val="22"/>
          <w:szCs w:val="22"/>
          <w:u w:val="single"/>
        </w:rPr>
        <w:t>EQUALITIES IMPACT</w:t>
      </w:r>
    </w:p>
    <w:p w:rsidR="00F9441C" w:rsidRPr="00501920" w:rsidRDefault="00F9441C" w:rsidP="00F9441C">
      <w:pPr>
        <w:ind w:left="720"/>
        <w:jc w:val="both"/>
        <w:rPr>
          <w:color w:val="000000"/>
          <w:sz w:val="22"/>
          <w:szCs w:val="22"/>
        </w:rPr>
      </w:pPr>
      <w:r w:rsidRPr="00501920">
        <w:rPr>
          <w:color w:val="000000"/>
          <w:sz w:val="22"/>
          <w:szCs w:val="22"/>
        </w:rPr>
        <w:t>In determining this application, the Local Planning Authority has had regard to its obligations under the Equality Act 2010.  The key equalities protected characteristics include age, disability, gender reassignment, marriage and civil partnership, pregnancy and maternity, race, religion or belief, gender, and sexual orientation.</w:t>
      </w:r>
    </w:p>
    <w:p w:rsidR="00F9441C" w:rsidRPr="00501920" w:rsidRDefault="00F9441C" w:rsidP="00F9441C">
      <w:pPr>
        <w:ind w:left="720"/>
        <w:jc w:val="both"/>
        <w:rPr>
          <w:color w:val="000000"/>
          <w:sz w:val="22"/>
          <w:szCs w:val="22"/>
        </w:rPr>
      </w:pPr>
    </w:p>
    <w:p w:rsidR="00F9441C" w:rsidRPr="00501920" w:rsidRDefault="00F9441C" w:rsidP="00F9441C">
      <w:pPr>
        <w:ind w:left="720"/>
        <w:jc w:val="both"/>
        <w:rPr>
          <w:color w:val="000000"/>
          <w:sz w:val="22"/>
          <w:szCs w:val="22"/>
        </w:rPr>
      </w:pPr>
      <w:r w:rsidRPr="00501920">
        <w:rPr>
          <w:color w:val="000000"/>
          <w:sz w:val="22"/>
          <w:szCs w:val="22"/>
        </w:rPr>
        <w:t>In terms of the key equalities protected characteristics it is considered there would be no significant adverse impacts as a result of the development.</w:t>
      </w:r>
    </w:p>
    <w:p w:rsidR="00F9441C" w:rsidRPr="00501920" w:rsidRDefault="00F9441C" w:rsidP="00F9441C">
      <w:pPr>
        <w:ind w:left="720"/>
        <w:jc w:val="both"/>
        <w:rPr>
          <w:color w:val="000000"/>
          <w:sz w:val="22"/>
          <w:szCs w:val="22"/>
        </w:rPr>
      </w:pPr>
    </w:p>
    <w:p w:rsidR="00F9441C" w:rsidRPr="00501920" w:rsidRDefault="00F9441C" w:rsidP="00F9441C">
      <w:pPr>
        <w:ind w:left="720"/>
        <w:jc w:val="both"/>
        <w:rPr>
          <w:b/>
          <w:color w:val="000000"/>
          <w:sz w:val="22"/>
          <w:szCs w:val="22"/>
          <w:u w:val="single"/>
        </w:rPr>
      </w:pPr>
      <w:r w:rsidRPr="00501920">
        <w:rPr>
          <w:b/>
          <w:color w:val="000000"/>
          <w:sz w:val="22"/>
          <w:szCs w:val="22"/>
          <w:u w:val="single"/>
        </w:rPr>
        <w:t>DECISION</w:t>
      </w:r>
    </w:p>
    <w:p w:rsidR="00F9441C" w:rsidRDefault="00F9441C" w:rsidP="00F9441C">
      <w:pPr>
        <w:ind w:left="720"/>
        <w:jc w:val="both"/>
        <w:rPr>
          <w:sz w:val="22"/>
          <w:szCs w:val="22"/>
        </w:rPr>
      </w:pPr>
      <w:r w:rsidRPr="00501920">
        <w:rPr>
          <w:sz w:val="22"/>
          <w:szCs w:val="22"/>
        </w:rPr>
        <w:t>Notification is given that Prior Approval is not required for the extension proposed under proposed under Class A, Part 1, of Schedule 2 to the Town and Country Planning (General Permitted Development) (England) Order 2015, as amended (Prior Approval).</w:t>
      </w:r>
    </w:p>
    <w:p w:rsidR="00501920" w:rsidRPr="00501920" w:rsidRDefault="002F01D5" w:rsidP="00501920">
      <w:pPr>
        <w:jc w:val="both"/>
        <w:rPr>
          <w:sz w:val="22"/>
          <w:szCs w:val="22"/>
        </w:rPr>
      </w:pPr>
      <w:r w:rsidRPr="00501920">
        <w:rPr>
          <w:noProof/>
          <w:sz w:val="22"/>
          <w:szCs w:val="22"/>
          <w:lang w:eastAsia="en-GB"/>
        </w:rPr>
        <w:lastRenderedPageBreak/>
        <w:drawing>
          <wp:inline distT="0" distB="0" distL="0" distR="0">
            <wp:extent cx="6117590" cy="45535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7590" cy="4553585"/>
                    </a:xfrm>
                    <a:prstGeom prst="rect">
                      <a:avLst/>
                    </a:prstGeom>
                    <a:noFill/>
                    <a:ln>
                      <a:noFill/>
                    </a:ln>
                  </pic:spPr>
                </pic:pic>
              </a:graphicData>
            </a:graphic>
          </wp:inline>
        </w:drawing>
      </w:r>
    </w:p>
    <w:p w:rsidR="00F9441C" w:rsidRPr="00501920" w:rsidRDefault="00F9441C" w:rsidP="00F9441C">
      <w:pPr>
        <w:ind w:left="720"/>
        <w:jc w:val="both"/>
        <w:rPr>
          <w:color w:val="000000"/>
          <w:sz w:val="22"/>
          <w:szCs w:val="22"/>
        </w:rPr>
      </w:pPr>
    </w:p>
    <w:p w:rsidR="001A0B0A" w:rsidRPr="00501920" w:rsidRDefault="001A0B0A" w:rsidP="00F9441C">
      <w:pPr>
        <w:ind w:left="720" w:hanging="11"/>
        <w:jc w:val="both"/>
        <w:rPr>
          <w:rFonts w:cs="Trebuchet MS"/>
          <w:sz w:val="22"/>
          <w:szCs w:val="22"/>
          <w:u w:val="single"/>
          <w:lang w:eastAsia="en-GB"/>
        </w:rPr>
      </w:pPr>
    </w:p>
    <w:sectPr w:rsidR="001A0B0A" w:rsidRPr="00501920">
      <w:headerReference w:type="even" r:id="rId9"/>
      <w:headerReference w:type="default" r:id="rId10"/>
      <w:footerReference w:type="even" r:id="rId11"/>
      <w:footerReference w:type="default" r:id="rId12"/>
      <w:headerReference w:type="first" r:id="rId13"/>
      <w:footerReference w:type="first" r:id="rId14"/>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0C1A" w:rsidRDefault="00780C1A">
      <w:r>
        <w:separator/>
      </w:r>
    </w:p>
  </w:endnote>
  <w:endnote w:type="continuationSeparator" w:id="0">
    <w:p w:rsidR="00780C1A" w:rsidRDefault="00780C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
    <w:panose1 w:val="00000000000000000000"/>
    <w:charset w:val="00"/>
    <w:family w:val="swiss"/>
    <w:notTrueType/>
    <w:pitch w:val="default"/>
    <w:sig w:usb0="00000003" w:usb1="00000000" w:usb2="00000000" w:usb3="00000000" w:csb0="00000001" w:csb1="00000000"/>
  </w:font>
  <w:font w:name="Verdana-Bold">
    <w:panose1 w:val="00000000000000000000"/>
    <w:charset w:val="00"/>
    <w:family w:val="script"/>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1920" w:rsidRDefault="005019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1920" w:rsidRDefault="00501920">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1920" w:rsidRDefault="005019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0C1A" w:rsidRDefault="00780C1A">
      <w:r>
        <w:separator/>
      </w:r>
    </w:p>
  </w:footnote>
  <w:footnote w:type="continuationSeparator" w:id="0">
    <w:p w:rsidR="00780C1A" w:rsidRDefault="00780C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1920" w:rsidRDefault="005019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1920" w:rsidRDefault="005019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1920" w:rsidRDefault="005019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E3173"/>
    <w:multiLevelType w:val="hybridMultilevel"/>
    <w:tmpl w:val="1D8855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5A95F31"/>
    <w:multiLevelType w:val="hybridMultilevel"/>
    <w:tmpl w:val="7A520DC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0"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11"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2"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3C8744A0"/>
    <w:multiLevelType w:val="hybridMultilevel"/>
    <w:tmpl w:val="D3FC13F8"/>
    <w:lvl w:ilvl="0" w:tplc="1EBC95DE">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4AC12390"/>
    <w:multiLevelType w:val="hybridMultilevel"/>
    <w:tmpl w:val="3BF0D0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0F63B40"/>
    <w:multiLevelType w:val="hybridMultilevel"/>
    <w:tmpl w:val="F14A32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7"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8"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32"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4"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6"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31"/>
  </w:num>
  <w:num w:numId="2">
    <w:abstractNumId w:val="27"/>
  </w:num>
  <w:num w:numId="3">
    <w:abstractNumId w:val="7"/>
  </w:num>
  <w:num w:numId="4">
    <w:abstractNumId w:val="36"/>
  </w:num>
  <w:num w:numId="5">
    <w:abstractNumId w:val="21"/>
  </w:num>
  <w:num w:numId="6">
    <w:abstractNumId w:val="14"/>
  </w:num>
  <w:num w:numId="7">
    <w:abstractNumId w:val="5"/>
  </w:num>
  <w:num w:numId="8">
    <w:abstractNumId w:val="32"/>
  </w:num>
  <w:num w:numId="9">
    <w:abstractNumId w:val="28"/>
  </w:num>
  <w:num w:numId="10">
    <w:abstractNumId w:val="4"/>
  </w:num>
  <w:num w:numId="11">
    <w:abstractNumId w:val="8"/>
  </w:num>
  <w:num w:numId="12">
    <w:abstractNumId w:val="34"/>
  </w:num>
  <w:num w:numId="13">
    <w:abstractNumId w:val="6"/>
  </w:num>
  <w:num w:numId="14">
    <w:abstractNumId w:val="31"/>
  </w:num>
  <w:num w:numId="15">
    <w:abstractNumId w:val="20"/>
  </w:num>
  <w:num w:numId="16">
    <w:abstractNumId w:val="29"/>
  </w:num>
  <w:num w:numId="17">
    <w:abstractNumId w:val="23"/>
  </w:num>
  <w:num w:numId="18">
    <w:abstractNumId w:val="35"/>
  </w:num>
  <w:num w:numId="19">
    <w:abstractNumId w:val="3"/>
  </w:num>
  <w:num w:numId="20">
    <w:abstractNumId w:val="11"/>
  </w:num>
  <w:num w:numId="21">
    <w:abstractNumId w:val="30"/>
  </w:num>
  <w:num w:numId="22">
    <w:abstractNumId w:val="15"/>
  </w:num>
  <w:num w:numId="23">
    <w:abstractNumId w:val="10"/>
  </w:num>
  <w:num w:numId="24">
    <w:abstractNumId w:val="17"/>
  </w:num>
  <w:num w:numId="25">
    <w:abstractNumId w:val="13"/>
  </w:num>
  <w:num w:numId="26">
    <w:abstractNumId w:val="24"/>
  </w:num>
  <w:num w:numId="27">
    <w:abstractNumId w:val="1"/>
  </w:num>
  <w:num w:numId="28">
    <w:abstractNumId w:val="26"/>
    <w:lvlOverride w:ilvl="0"/>
  </w:num>
  <w:num w:numId="29">
    <w:abstractNumId w:val="9"/>
  </w:num>
  <w:num w:numId="30">
    <w:abstractNumId w:val="12"/>
  </w:num>
  <w:num w:numId="31">
    <w:abstractNumId w:val="33"/>
  </w:num>
  <w:num w:numId="32">
    <w:abstractNumId w:val="37"/>
  </w:num>
  <w:num w:numId="33">
    <w:abstractNumId w:val="25"/>
  </w:num>
  <w:num w:numId="34">
    <w:abstractNumId w:val="18"/>
  </w:num>
  <w:num w:numId="35">
    <w:abstractNumId w:val="19"/>
  </w:num>
  <w:num w:numId="36">
    <w:abstractNumId w:val="0"/>
  </w:num>
  <w:num w:numId="37">
    <w:abstractNumId w:val="2"/>
  </w:num>
  <w:num w:numId="38">
    <w:abstractNumId w:val="22"/>
  </w:num>
  <w:num w:numId="3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1A0B0A"/>
    <w:rsid w:val="002374BB"/>
    <w:rsid w:val="002D5280"/>
    <w:rsid w:val="002F01D5"/>
    <w:rsid w:val="00366D3E"/>
    <w:rsid w:val="003A1757"/>
    <w:rsid w:val="004A1CAD"/>
    <w:rsid w:val="00501920"/>
    <w:rsid w:val="00680694"/>
    <w:rsid w:val="00780C1A"/>
    <w:rsid w:val="007C6413"/>
    <w:rsid w:val="00A55788"/>
    <w:rsid w:val="00B35C4E"/>
    <w:rsid w:val="00C86A34"/>
    <w:rsid w:val="00CD16C2"/>
    <w:rsid w:val="00F944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5:chartTrackingRefBased/>
  <w15:docId w15:val="{1AD831E3-7445-4738-9C83-64F9C76CE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927</Words>
  <Characters>5289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6204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2012-06-25T11:52:00Z</cp:lastPrinted>
  <dcterms:created xsi:type="dcterms:W3CDTF">2022-07-01T08:17:00Z</dcterms:created>
  <dcterms:modified xsi:type="dcterms:W3CDTF">2022-07-01T08:17:00Z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