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AF9" w:rsidRDefault="004B7076" w:rsidP="00461AF9">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7775"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514350"/>
                    </a:xfrm>
                    <a:prstGeom prst="rect">
                      <a:avLst/>
                    </a:prstGeom>
                    <a:noFill/>
                    <a:ln>
                      <a:noFill/>
                    </a:ln>
                  </pic:spPr>
                </pic:pic>
              </a:graphicData>
            </a:graphic>
          </wp:inline>
        </w:drawing>
      </w:r>
    </w:p>
    <w:p w:rsidR="00461AF9" w:rsidRDefault="00461AF9">
      <w:pPr>
        <w:pStyle w:val="BodyText"/>
        <w:tabs>
          <w:tab w:val="left" w:pos="2552"/>
        </w:tabs>
        <w:ind w:left="2552" w:hanging="2552"/>
        <w:jc w:val="both"/>
        <w:rPr>
          <w:rFonts w:ascii="Trebuchet MS" w:hAnsi="Trebuchet MS"/>
          <w:sz w:val="22"/>
          <w:szCs w:val="22"/>
        </w:rPr>
      </w:pPr>
    </w:p>
    <w:p w:rsidR="00461AF9" w:rsidRPr="00FF3B1B" w:rsidRDefault="00461AF9" w:rsidP="00D066F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461AF9" w:rsidRPr="00FF3B1B" w:rsidRDefault="00461AF9" w:rsidP="00D066F5">
      <w:pPr>
        <w:pStyle w:val="BodyText"/>
        <w:tabs>
          <w:tab w:val="left" w:pos="2552"/>
        </w:tabs>
        <w:ind w:left="3272" w:hanging="2552"/>
        <w:jc w:val="both"/>
        <w:rPr>
          <w:rFonts w:ascii="Trebuchet MS" w:hAnsi="Trebuchet MS"/>
          <w:sz w:val="22"/>
          <w:szCs w:val="22"/>
        </w:rPr>
      </w:pPr>
    </w:p>
    <w:p w:rsidR="00461AF9" w:rsidRPr="00FF3B1B" w:rsidRDefault="00461AF9" w:rsidP="00D066F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461AF9" w:rsidRPr="00FF3B1B" w:rsidRDefault="00461AF9" w:rsidP="00D066F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221047</w:t>
      </w:r>
      <w:r w:rsidRPr="00FF3B1B">
        <w:rPr>
          <w:rFonts w:ascii="Trebuchet MS" w:hAnsi="Trebuchet MS"/>
          <w:b w:val="0"/>
          <w:sz w:val="22"/>
          <w:szCs w:val="22"/>
        </w:rPr>
        <w:t>/</w:t>
      </w:r>
      <w:r w:rsidRPr="00FF3B1B">
        <w:rPr>
          <w:rFonts w:ascii="Trebuchet MS" w:hAnsi="Trebuchet MS"/>
          <w:sz w:val="22"/>
          <w:szCs w:val="22"/>
        </w:rPr>
        <w:t>HOU</w:t>
      </w:r>
    </w:p>
    <w:p w:rsidR="00461AF9" w:rsidRPr="00FF3B1B" w:rsidRDefault="00461AF9" w:rsidP="00D066F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165 Whitley Wood Road, Reading, RG2 8LB</w:t>
      </w:r>
    </w:p>
    <w:p w:rsidR="00461AF9" w:rsidRPr="00FF3B1B" w:rsidRDefault="00461AF9" w:rsidP="00D066F5">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side extension</w:t>
      </w:r>
    </w:p>
    <w:p w:rsidR="00461AF9" w:rsidRPr="00FF3B1B" w:rsidRDefault="00461AF9" w:rsidP="00D066F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461AF9" w:rsidRPr="00FF3B1B" w:rsidRDefault="00461AF9" w:rsidP="00D066F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Harvir Singh</w:t>
      </w:r>
    </w:p>
    <w:p w:rsidR="00461AF9" w:rsidRDefault="00461AF9" w:rsidP="00D066F5">
      <w:pPr>
        <w:pStyle w:val="BodyText"/>
        <w:ind w:left="720"/>
        <w:jc w:val="both"/>
        <w:rPr>
          <w:rFonts w:ascii="Trebuchet MS" w:hAnsi="Trebuchet MS"/>
          <w:sz w:val="22"/>
          <w:szCs w:val="22"/>
        </w:rPr>
      </w:pPr>
      <w:r w:rsidRPr="00FF3B1B">
        <w:rPr>
          <w:rFonts w:ascii="Trebuchet MS" w:hAnsi="Trebuchet MS"/>
          <w:sz w:val="22"/>
          <w:szCs w:val="22"/>
        </w:rPr>
        <w:t>Date received (valid from): 17 July 2022</w:t>
      </w:r>
      <w:r>
        <w:rPr>
          <w:rFonts w:ascii="Trebuchet MS" w:hAnsi="Trebuchet MS"/>
          <w:sz w:val="22"/>
          <w:szCs w:val="22"/>
        </w:rPr>
        <w:t xml:space="preserve">     </w:t>
      </w:r>
    </w:p>
    <w:p w:rsidR="00461AF9" w:rsidRPr="00FF3B1B" w:rsidRDefault="00461AF9" w:rsidP="00D066F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24461">
        <w:rPr>
          <w:rFonts w:ascii="Trebuchet MS" w:hAnsi="Trebuchet MS"/>
          <w:sz w:val="22"/>
          <w:szCs w:val="22"/>
        </w:rPr>
        <w:t>7</w:t>
      </w:r>
      <w:r>
        <w:rPr>
          <w:rFonts w:ascii="Trebuchet MS" w:hAnsi="Trebuchet MS" w:cs="Trebuchet MS"/>
          <w:noProof/>
          <w:sz w:val="22"/>
          <w:szCs w:val="22"/>
        </w:rPr>
        <w:t xml:space="preserve"> November </w:t>
      </w:r>
      <w:r w:rsidRPr="00FF3B1B">
        <w:rPr>
          <w:rFonts w:ascii="Trebuchet MS" w:hAnsi="Trebuchet MS" w:cs="Trebuchet MS"/>
          <w:sz w:val="22"/>
          <w:szCs w:val="22"/>
        </w:rPr>
        <w:t>2022</w:t>
      </w:r>
      <w:r>
        <w:rPr>
          <w:rFonts w:ascii="Trebuchet MS" w:hAnsi="Trebuchet MS" w:cs="Trebuchet MS"/>
          <w:sz w:val="22"/>
          <w:szCs w:val="22"/>
        </w:rPr>
        <w:t xml:space="preserve"> (EXT)</w:t>
      </w:r>
      <w:r w:rsidRPr="00FF3B1B">
        <w:rPr>
          <w:rFonts w:ascii="Trebuchet MS" w:hAnsi="Trebuchet MS"/>
          <w:sz w:val="22"/>
          <w:szCs w:val="22"/>
        </w:rPr>
        <w:tab/>
      </w:r>
    </w:p>
    <w:p w:rsidR="00461AF9" w:rsidRPr="00FF3B1B" w:rsidRDefault="00461AF9">
      <w:pPr>
        <w:pStyle w:val="BodyText"/>
        <w:tabs>
          <w:tab w:val="left" w:pos="2552"/>
        </w:tabs>
        <w:ind w:left="2552" w:hanging="2552"/>
        <w:jc w:val="both"/>
        <w:rPr>
          <w:rFonts w:ascii="Trebuchet MS" w:hAnsi="Trebuchet MS"/>
          <w:b w:val="0"/>
          <w:sz w:val="22"/>
          <w:szCs w:val="22"/>
        </w:rPr>
      </w:pPr>
    </w:p>
    <w:p w:rsidR="00461AF9" w:rsidRPr="00FF3B1B" w:rsidRDefault="00461AF9">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461AF9" w:rsidRDefault="00ED6331" w:rsidP="00E62AFC">
      <w:pPr>
        <w:ind w:left="720"/>
        <w:jc w:val="both"/>
        <w:rPr>
          <w:sz w:val="22"/>
          <w:szCs w:val="22"/>
        </w:rPr>
      </w:pPr>
      <w:r>
        <w:rPr>
          <w:sz w:val="22"/>
          <w:szCs w:val="22"/>
        </w:rPr>
        <w:t>The site is a semi-detached Victorian dwelling on the southern side of Whitley Wood Road, among dwellings of similar as well as varied styles in a predominantly residential area. It is close to the intersection with Woodside Way.</w:t>
      </w:r>
      <w:r w:rsidR="00461AF9">
        <w:rPr>
          <w:sz w:val="22"/>
          <w:szCs w:val="22"/>
        </w:rPr>
        <w:t xml:space="preserve"> The property </w:t>
      </w:r>
      <w:r w:rsidR="00280619">
        <w:rPr>
          <w:sz w:val="22"/>
          <w:szCs w:val="22"/>
        </w:rPr>
        <w:t xml:space="preserve">is adjacent to a private driveway to a bank of garages which are sited to the rear </w:t>
      </w:r>
      <w:r w:rsidR="00461AF9">
        <w:rPr>
          <w:sz w:val="22"/>
          <w:szCs w:val="22"/>
        </w:rPr>
        <w:t>of</w:t>
      </w:r>
      <w:r w:rsidR="00280619">
        <w:rPr>
          <w:sz w:val="22"/>
          <w:szCs w:val="22"/>
        </w:rPr>
        <w:t xml:space="preserve"> nos 157-163 Whitley Wood Road</w:t>
      </w:r>
      <w:r w:rsidR="00461AF9">
        <w:rPr>
          <w:sz w:val="22"/>
          <w:szCs w:val="22"/>
        </w:rPr>
        <w:t>.</w:t>
      </w:r>
      <w:r w:rsidR="0082088C">
        <w:rPr>
          <w:sz w:val="22"/>
          <w:szCs w:val="22"/>
        </w:rPr>
        <w:t xml:space="preserve">  There is an existing single storey side extension</w:t>
      </w:r>
      <w:r w:rsidR="008A768B">
        <w:rPr>
          <w:sz w:val="22"/>
          <w:szCs w:val="22"/>
        </w:rPr>
        <w:t xml:space="preserve"> roughly the full depth of the house and a single storey flat roofed rear extension the full width of the original house.</w:t>
      </w:r>
    </w:p>
    <w:p w:rsidR="008A768B" w:rsidRDefault="008A768B" w:rsidP="00E62AFC">
      <w:pPr>
        <w:ind w:left="720"/>
        <w:jc w:val="both"/>
        <w:rPr>
          <w:sz w:val="22"/>
          <w:szCs w:val="22"/>
        </w:rPr>
      </w:pPr>
    </w:p>
    <w:p w:rsidR="008A768B" w:rsidRDefault="008A768B" w:rsidP="00E62AFC">
      <w:pPr>
        <w:ind w:left="720"/>
        <w:jc w:val="both"/>
        <w:rPr>
          <w:sz w:val="22"/>
          <w:szCs w:val="22"/>
        </w:rPr>
      </w:pPr>
      <w:r>
        <w:rPr>
          <w:sz w:val="22"/>
          <w:szCs w:val="22"/>
        </w:rPr>
        <w:t>No 163, on the other side of the drive, has a number of side facing windows at ground and first floor levels.</w:t>
      </w:r>
    </w:p>
    <w:p w:rsidR="00E62AFC" w:rsidRDefault="00E62AFC" w:rsidP="00E62AFC">
      <w:pPr>
        <w:ind w:left="720"/>
        <w:jc w:val="both"/>
        <w:rPr>
          <w:noProof/>
          <w:lang w:eastAsia="en-GB"/>
        </w:rPr>
      </w:pPr>
    </w:p>
    <w:p w:rsidR="00ED6331" w:rsidRPr="00FF3B1B" w:rsidRDefault="004B7076" w:rsidP="00E62AFC">
      <w:pPr>
        <w:ind w:left="720"/>
        <w:jc w:val="both"/>
        <w:rPr>
          <w:sz w:val="22"/>
          <w:szCs w:val="22"/>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947420</wp:posOffset>
                </wp:positionH>
                <wp:positionV relativeFrom="paragraph">
                  <wp:posOffset>119380</wp:posOffset>
                </wp:positionV>
                <wp:extent cx="341630" cy="843280"/>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32264">
                          <a:off x="0" y="0"/>
                          <a:ext cx="341630" cy="84328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6372E" id="Rectangle 5" o:spid="_x0000_s1026" style="position:absolute;margin-left:74.6pt;margin-top:9.4pt;width:26.9pt;height:66.4pt;rotation:123673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" filled="f" strokecolor="red" strokeweight="2.5pt"/>
            </w:pict>
          </mc:Fallback>
        </mc:AlternateContent>
      </w: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3823970</wp:posOffset>
                </wp:positionH>
                <wp:positionV relativeFrom="paragraph">
                  <wp:posOffset>586740</wp:posOffset>
                </wp:positionV>
                <wp:extent cx="386080" cy="568960"/>
                <wp:effectExtent l="0" t="0" r="0" b="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080" cy="56896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D4785" id="Rectangle 4" o:spid="_x0000_s1026" style="position:absolute;margin-left:301.1pt;margin-top:46.2pt;width:30.4pt;height:4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" filled="f" strokecolor="red" strokeweight="2.5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3539490</wp:posOffset>
                </wp:positionH>
                <wp:positionV relativeFrom="paragraph">
                  <wp:posOffset>1005205</wp:posOffset>
                </wp:positionV>
                <wp:extent cx="0" cy="426720"/>
                <wp:effectExtent l="0" t="0" r="0" b="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6720"/>
                        </a:xfrm>
                        <a:prstGeom prst="straightConnector1">
                          <a:avLst/>
                        </a:prstGeom>
                        <a:noFill/>
                        <a:ln w="317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558C03" id="_x0000_t32" coordsize="21600,21600" o:spt="32" o:oned="t" path="m,l21600,21600e" filled="f">
                <v:path arrowok="t" fillok="f" o:connecttype="none"/>
                <o:lock v:ext="edit" shapetype="t"/>
              </v:shapetype>
              <v:shape id="AutoShape 3" o:spid="_x0000_s1026" type="#_x0000_t32" style="position:absolute;margin-left:278.7pt;margin-top:79.15pt;width:0;height:33.6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" strokecolor="#00b0f0" strokeweight="2.5pt"/>
            </w:pict>
          </mc:Fallback>
        </mc:AlternateContent>
      </w:r>
      <w:r>
        <w:rPr>
          <w:noProof/>
          <w:lang w:eastAsia="en-GB"/>
        </w:rPr>
        <mc:AlternateContent>
          <mc:Choice Requires="wps">
            <w:drawing>
              <wp:anchor distT="0" distB="0" distL="114300" distR="114300" simplePos="0" relativeHeight="251656192" behindDoc="0" locked="0" layoutInCell="1" allowOverlap="1">
                <wp:simplePos x="0" y="0"/>
                <wp:positionH relativeFrom="column">
                  <wp:posOffset>2978785</wp:posOffset>
                </wp:positionH>
                <wp:positionV relativeFrom="paragraph">
                  <wp:posOffset>964565</wp:posOffset>
                </wp:positionV>
                <wp:extent cx="447040" cy="294640"/>
                <wp:effectExtent l="0" t="0" r="0"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7040" cy="294640"/>
                        </a:xfrm>
                        <a:prstGeom prst="straightConnector1">
                          <a:avLst/>
                        </a:prstGeom>
                        <a:noFill/>
                        <a:ln w="31750">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8E329" id="AutoShape 2" o:spid="_x0000_s1026" type="#_x0000_t32" style="position:absolute;margin-left:234.55pt;margin-top:75.95pt;width:35.2pt;height:23.2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" strokecolor="#00b0f0" strokeweight="2.5pt"/>
            </w:pict>
          </mc:Fallback>
        </mc:AlternateContent>
      </w:r>
      <w:r w:rsidR="00461AF9">
        <w:rPr>
          <w:noProof/>
          <w:lang w:eastAsia="en-GB"/>
        </w:rPr>
        <w:t xml:space="preserve"> </w:t>
      </w:r>
      <w:r w:rsidRPr="006813AE">
        <w:rPr>
          <w:noProof/>
          <w:lang w:eastAsia="en-GB"/>
        </w:rPr>
        <w:drawing>
          <wp:inline distT="0" distB="0" distL="0" distR="0">
            <wp:extent cx="2409825" cy="14954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1495425"/>
                    </a:xfrm>
                    <a:prstGeom prst="rect">
                      <a:avLst/>
                    </a:prstGeom>
                    <a:noFill/>
                    <a:ln>
                      <a:noFill/>
                    </a:ln>
                  </pic:spPr>
                </pic:pic>
              </a:graphicData>
            </a:graphic>
          </wp:inline>
        </w:drawing>
      </w:r>
      <w:r w:rsidR="00E62AFC">
        <w:rPr>
          <w:noProof/>
          <w:lang w:eastAsia="en-GB"/>
        </w:rPr>
        <w:t xml:space="preserve"> </w:t>
      </w:r>
      <w:r w:rsidRPr="006813AE">
        <w:rPr>
          <w:noProof/>
          <w:lang w:eastAsia="en-GB"/>
        </w:rPr>
        <w:drawing>
          <wp:inline distT="0" distB="0" distL="0" distR="0">
            <wp:extent cx="2876550" cy="14954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6550" cy="1495425"/>
                    </a:xfrm>
                    <a:prstGeom prst="rect">
                      <a:avLst/>
                    </a:prstGeom>
                    <a:noFill/>
                    <a:ln>
                      <a:noFill/>
                    </a:ln>
                  </pic:spPr>
                </pic:pic>
              </a:graphicData>
            </a:graphic>
          </wp:inline>
        </w:drawing>
      </w:r>
      <w:r w:rsidR="00ED6331">
        <w:rPr>
          <w:noProof/>
          <w:lang w:eastAsia="en-GB"/>
        </w:rPr>
        <w:t xml:space="preserve">                          </w:t>
      </w:r>
    </w:p>
    <w:p w:rsidR="00461AF9" w:rsidRPr="00FF3B1B" w:rsidRDefault="00461AF9" w:rsidP="00461AF9">
      <w:pPr>
        <w:ind w:firstLine="720"/>
        <w:rPr>
          <w:sz w:val="22"/>
          <w:szCs w:val="22"/>
        </w:rPr>
      </w:pPr>
    </w:p>
    <w:p w:rsidR="00461AF9" w:rsidRDefault="004B7076" w:rsidP="008A768B">
      <w:pPr>
        <w:jc w:val="center"/>
        <w:rPr>
          <w:b/>
          <w:bCs/>
          <w:sz w:val="22"/>
          <w:szCs w:val="22"/>
        </w:rPr>
      </w:pPr>
      <w:r w:rsidRPr="008A768B">
        <w:rPr>
          <w:b/>
          <w:bCs/>
          <w:noProof/>
          <w:sz w:val="22"/>
          <w:szCs w:val="22"/>
          <w:lang w:eastAsia="en-GB"/>
        </w:rPr>
        <w:drawing>
          <wp:inline distT="0" distB="0" distL="0" distR="0">
            <wp:extent cx="2181225" cy="1562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225" cy="1562100"/>
                    </a:xfrm>
                    <a:prstGeom prst="rect">
                      <a:avLst/>
                    </a:prstGeom>
                    <a:noFill/>
                    <a:ln>
                      <a:noFill/>
                    </a:ln>
                  </pic:spPr>
                </pic:pic>
              </a:graphicData>
            </a:graphic>
          </wp:inline>
        </w:drawing>
      </w:r>
    </w:p>
    <w:p w:rsidR="008A768B" w:rsidRPr="00FF3B1B" w:rsidRDefault="008A768B" w:rsidP="008A768B">
      <w:pPr>
        <w:jc w:val="center"/>
        <w:rPr>
          <w:b/>
          <w:bCs/>
          <w:sz w:val="22"/>
          <w:szCs w:val="22"/>
        </w:rPr>
      </w:pPr>
    </w:p>
    <w:p w:rsidR="00461AF9" w:rsidRPr="00FF3B1B" w:rsidRDefault="00461AF9">
      <w:pPr>
        <w:jc w:val="both"/>
        <w:rPr>
          <w:b/>
          <w:bCs/>
          <w:sz w:val="22"/>
          <w:szCs w:val="22"/>
        </w:rPr>
      </w:pPr>
      <w:r w:rsidRPr="00FF3B1B">
        <w:rPr>
          <w:b/>
          <w:bCs/>
          <w:sz w:val="22"/>
          <w:szCs w:val="22"/>
        </w:rPr>
        <w:t>2.</w:t>
      </w:r>
      <w:r w:rsidRPr="00FF3B1B">
        <w:rPr>
          <w:b/>
          <w:bCs/>
          <w:sz w:val="22"/>
          <w:szCs w:val="22"/>
        </w:rPr>
        <w:tab/>
        <w:t>PROPOSAL AND SUPPORTING INFORMATION</w:t>
      </w:r>
    </w:p>
    <w:p w:rsidR="00280619" w:rsidRDefault="00E62AFC" w:rsidP="00280619">
      <w:pPr>
        <w:ind w:left="720"/>
        <w:jc w:val="both"/>
        <w:rPr>
          <w:sz w:val="22"/>
          <w:szCs w:val="22"/>
        </w:rPr>
      </w:pPr>
      <w:r>
        <w:rPr>
          <w:sz w:val="22"/>
          <w:szCs w:val="22"/>
        </w:rPr>
        <w:t>The proposal is for a single storey side extension measuring approximately 5.8m deep and 3.5m wide</w:t>
      </w:r>
      <w:r w:rsidR="00124461">
        <w:rPr>
          <w:sz w:val="22"/>
          <w:szCs w:val="22"/>
        </w:rPr>
        <w:t xml:space="preserve"> replacing an existing side extension.  It wo</w:t>
      </w:r>
      <w:r w:rsidR="00280619">
        <w:rPr>
          <w:sz w:val="22"/>
          <w:szCs w:val="22"/>
        </w:rPr>
        <w:t>uld have a mono-pitched roof to the front with flat roof to the remainder</w:t>
      </w:r>
      <w:r w:rsidR="008A768B">
        <w:rPr>
          <w:sz w:val="22"/>
          <w:szCs w:val="22"/>
        </w:rPr>
        <w:t xml:space="preserve"> and it would extend slightly beyond the rear wall of the existing single storey extension.  The height would be the same as the existing rear extension</w:t>
      </w:r>
      <w:r w:rsidR="00280619">
        <w:rPr>
          <w:sz w:val="22"/>
          <w:szCs w:val="22"/>
        </w:rPr>
        <w:t>.</w:t>
      </w:r>
      <w:r w:rsidR="00124461">
        <w:rPr>
          <w:sz w:val="22"/>
          <w:szCs w:val="22"/>
        </w:rPr>
        <w:t xml:space="preserve">  It would be set off the side boundary by 0.85m.</w:t>
      </w:r>
    </w:p>
    <w:p w:rsidR="00280619" w:rsidRDefault="00280619" w:rsidP="00280619">
      <w:pPr>
        <w:ind w:left="720"/>
        <w:jc w:val="both"/>
        <w:rPr>
          <w:sz w:val="22"/>
          <w:szCs w:val="22"/>
        </w:rPr>
      </w:pPr>
    </w:p>
    <w:p w:rsidR="00461AF9" w:rsidRPr="00E62AFC" w:rsidRDefault="00461AF9" w:rsidP="00280619">
      <w:pPr>
        <w:ind w:left="720"/>
        <w:jc w:val="both"/>
        <w:rPr>
          <w:b/>
          <w:bCs/>
          <w:sz w:val="22"/>
          <w:szCs w:val="22"/>
        </w:rPr>
      </w:pPr>
      <w:r w:rsidRPr="00E62AFC">
        <w:rPr>
          <w:b/>
          <w:bCs/>
          <w:sz w:val="22"/>
          <w:szCs w:val="22"/>
        </w:rPr>
        <w:t>Plans considered</w:t>
      </w:r>
      <w:r w:rsidR="003E6F5B">
        <w:rPr>
          <w:b/>
          <w:bCs/>
          <w:sz w:val="22"/>
          <w:szCs w:val="22"/>
        </w:rPr>
        <w:t xml:space="preserve"> received 18</w:t>
      </w:r>
      <w:r w:rsidR="003E6F5B" w:rsidRPr="003E6F5B">
        <w:rPr>
          <w:b/>
          <w:bCs/>
          <w:sz w:val="22"/>
          <w:szCs w:val="22"/>
          <w:vertAlign w:val="superscript"/>
        </w:rPr>
        <w:t>th</w:t>
      </w:r>
      <w:r w:rsidR="003E6F5B">
        <w:rPr>
          <w:b/>
          <w:bCs/>
          <w:sz w:val="22"/>
          <w:szCs w:val="22"/>
        </w:rPr>
        <w:t xml:space="preserve"> July 2022</w:t>
      </w:r>
    </w:p>
    <w:p w:rsidR="00E62AFC" w:rsidRPr="0082088C" w:rsidRDefault="00E62AFC" w:rsidP="00E62AFC">
      <w:pPr>
        <w:pStyle w:val="BodyText"/>
        <w:ind w:left="720"/>
        <w:jc w:val="both"/>
        <w:rPr>
          <w:rFonts w:ascii="Trebuchet MS" w:hAnsi="Trebuchet MS"/>
          <w:b w:val="0"/>
          <w:bCs/>
          <w:sz w:val="22"/>
          <w:szCs w:val="22"/>
        </w:rPr>
      </w:pPr>
      <w:r w:rsidRPr="0082088C">
        <w:rPr>
          <w:rFonts w:ascii="Trebuchet MS" w:hAnsi="Trebuchet MS"/>
          <w:b w:val="0"/>
          <w:bCs/>
          <w:sz w:val="22"/>
          <w:szCs w:val="22"/>
        </w:rPr>
        <w:t>Location Plan</w:t>
      </w:r>
    </w:p>
    <w:p w:rsidR="00E62AFC" w:rsidRPr="0082088C" w:rsidRDefault="00E62AFC" w:rsidP="00E62AFC">
      <w:pPr>
        <w:pStyle w:val="BodyText"/>
        <w:ind w:left="720"/>
        <w:jc w:val="both"/>
        <w:rPr>
          <w:rFonts w:ascii="Trebuchet MS" w:hAnsi="Trebuchet MS"/>
          <w:b w:val="0"/>
          <w:sz w:val="22"/>
          <w:szCs w:val="22"/>
          <w:lang w:eastAsia="en-GB"/>
        </w:rPr>
      </w:pPr>
      <w:r w:rsidRPr="0082088C">
        <w:rPr>
          <w:rFonts w:ascii="Trebuchet MS" w:hAnsi="Trebuchet MS"/>
          <w:b w:val="0"/>
          <w:sz w:val="22"/>
          <w:szCs w:val="22"/>
          <w:lang w:eastAsia="en-GB"/>
        </w:rPr>
        <w:t>2221-ex-01: Existing Elevations</w:t>
      </w:r>
    </w:p>
    <w:p w:rsidR="00E62AFC" w:rsidRPr="0082088C" w:rsidRDefault="00E62AFC" w:rsidP="00E62AFC">
      <w:pPr>
        <w:pStyle w:val="BodyText"/>
        <w:ind w:left="720"/>
        <w:jc w:val="both"/>
        <w:rPr>
          <w:rFonts w:ascii="Trebuchet MS" w:hAnsi="Trebuchet MS" w:cs="TimesNewRomanPSMT"/>
          <w:b w:val="0"/>
          <w:sz w:val="22"/>
          <w:szCs w:val="22"/>
          <w:lang w:eastAsia="en-GB"/>
        </w:rPr>
      </w:pPr>
      <w:r w:rsidRPr="0082088C">
        <w:rPr>
          <w:rFonts w:ascii="Trebuchet MS" w:hAnsi="Trebuchet MS" w:cs="TimesNewRomanPSMT"/>
          <w:b w:val="0"/>
          <w:sz w:val="22"/>
          <w:szCs w:val="22"/>
          <w:lang w:eastAsia="en-GB"/>
        </w:rPr>
        <w:t>2221-pl-01: Proposed Plans and Elevations</w:t>
      </w:r>
    </w:p>
    <w:p w:rsidR="00D066F5" w:rsidRDefault="004B7076" w:rsidP="00E62AFC">
      <w:pPr>
        <w:pStyle w:val="BodyText"/>
        <w:ind w:left="720"/>
        <w:jc w:val="both"/>
        <w:rPr>
          <w:rFonts w:ascii="Trebuchet MS" w:hAnsi="Trebuchet MS"/>
          <w:b w:val="0"/>
          <w:bCs/>
          <w:sz w:val="22"/>
          <w:szCs w:val="22"/>
        </w:rPr>
      </w:pPr>
      <w:r w:rsidRPr="00D066F5">
        <w:rPr>
          <w:rFonts w:ascii="Trebuchet MS" w:hAnsi="Trebuchet MS"/>
          <w:b w:val="0"/>
          <w:bCs/>
          <w:noProof/>
          <w:sz w:val="22"/>
          <w:szCs w:val="22"/>
          <w:lang w:eastAsia="en-GB"/>
        </w:rPr>
        <w:lastRenderedPageBreak/>
        <w:drawing>
          <wp:inline distT="0" distB="0" distL="0" distR="0">
            <wp:extent cx="1724025" cy="2533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2533650"/>
                    </a:xfrm>
                    <a:prstGeom prst="rect">
                      <a:avLst/>
                    </a:prstGeom>
                    <a:noFill/>
                    <a:ln>
                      <a:noFill/>
                    </a:ln>
                  </pic:spPr>
                </pic:pic>
              </a:graphicData>
            </a:graphic>
          </wp:inline>
        </w:drawing>
      </w:r>
      <w:r w:rsidR="00D066F5">
        <w:rPr>
          <w:rFonts w:ascii="Trebuchet MS" w:hAnsi="Trebuchet MS"/>
          <w:b w:val="0"/>
          <w:bCs/>
          <w:sz w:val="22"/>
          <w:szCs w:val="22"/>
        </w:rPr>
        <w:t xml:space="preserve">  </w:t>
      </w:r>
      <w:r w:rsidRPr="00D066F5">
        <w:rPr>
          <w:rFonts w:ascii="Trebuchet MS" w:hAnsi="Trebuchet MS"/>
          <w:b w:val="0"/>
          <w:bCs/>
          <w:noProof/>
          <w:sz w:val="22"/>
          <w:szCs w:val="22"/>
          <w:lang w:eastAsia="en-GB"/>
        </w:rPr>
        <w:drawing>
          <wp:inline distT="0" distB="0" distL="0" distR="0">
            <wp:extent cx="1447800" cy="2476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2476500"/>
                    </a:xfrm>
                    <a:prstGeom prst="rect">
                      <a:avLst/>
                    </a:prstGeom>
                    <a:noFill/>
                    <a:ln>
                      <a:noFill/>
                    </a:ln>
                  </pic:spPr>
                </pic:pic>
              </a:graphicData>
            </a:graphic>
          </wp:inline>
        </w:drawing>
      </w:r>
      <w:r w:rsidR="00D066F5">
        <w:rPr>
          <w:rFonts w:ascii="Trebuchet MS" w:hAnsi="Trebuchet MS"/>
          <w:b w:val="0"/>
          <w:bCs/>
          <w:sz w:val="22"/>
          <w:szCs w:val="22"/>
        </w:rPr>
        <w:t xml:space="preserve">    </w:t>
      </w:r>
      <w:r w:rsidRPr="00D066F5">
        <w:rPr>
          <w:rFonts w:ascii="Trebuchet MS" w:hAnsi="Trebuchet MS"/>
          <w:b w:val="0"/>
          <w:bCs/>
          <w:noProof/>
          <w:sz w:val="22"/>
          <w:szCs w:val="22"/>
          <w:lang w:eastAsia="en-GB"/>
        </w:rPr>
        <w:drawing>
          <wp:inline distT="0" distB="0" distL="0" distR="0">
            <wp:extent cx="1733550" cy="3162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3550" cy="3162300"/>
                    </a:xfrm>
                    <a:prstGeom prst="rect">
                      <a:avLst/>
                    </a:prstGeom>
                    <a:noFill/>
                    <a:ln>
                      <a:noFill/>
                    </a:ln>
                  </pic:spPr>
                </pic:pic>
              </a:graphicData>
            </a:graphic>
          </wp:inline>
        </w:drawing>
      </w:r>
      <w:r w:rsidR="00D066F5">
        <w:rPr>
          <w:rFonts w:ascii="Trebuchet MS" w:hAnsi="Trebuchet MS"/>
          <w:b w:val="0"/>
          <w:bCs/>
          <w:sz w:val="22"/>
          <w:szCs w:val="22"/>
        </w:rPr>
        <w:t xml:space="preserve">         </w:t>
      </w:r>
    </w:p>
    <w:p w:rsidR="00D066F5" w:rsidRDefault="00D066F5" w:rsidP="00E62AFC">
      <w:pPr>
        <w:pStyle w:val="BodyText"/>
        <w:ind w:left="720"/>
        <w:jc w:val="both"/>
        <w:rPr>
          <w:rFonts w:ascii="Trebuchet MS" w:hAnsi="Trebuchet MS"/>
          <w:b w:val="0"/>
          <w:bCs/>
          <w:sz w:val="22"/>
          <w:szCs w:val="22"/>
        </w:rPr>
      </w:pPr>
    </w:p>
    <w:p w:rsidR="00D066F5" w:rsidRDefault="00D066F5" w:rsidP="00E62AFC">
      <w:pPr>
        <w:pStyle w:val="BodyText"/>
        <w:ind w:left="720"/>
        <w:jc w:val="both"/>
        <w:rPr>
          <w:rFonts w:ascii="Trebuchet MS" w:hAnsi="Trebuchet MS"/>
          <w:b w:val="0"/>
          <w:bCs/>
          <w:sz w:val="22"/>
          <w:szCs w:val="22"/>
        </w:rPr>
      </w:pPr>
      <w:r>
        <w:rPr>
          <w:rFonts w:ascii="Trebuchet MS" w:hAnsi="Trebuchet MS"/>
          <w:b w:val="0"/>
          <w:bCs/>
          <w:sz w:val="22"/>
          <w:szCs w:val="22"/>
        </w:rPr>
        <w:t xml:space="preserve">         </w:t>
      </w:r>
      <w:r w:rsidRPr="00D066F5">
        <w:rPr>
          <w:rFonts w:ascii="Trebuchet MS" w:hAnsi="Trebuchet MS"/>
          <w:b w:val="0"/>
          <w:bCs/>
          <w:sz w:val="22"/>
          <w:szCs w:val="22"/>
          <w:u w:val="single"/>
        </w:rPr>
        <w:t>Location Plan</w:t>
      </w:r>
      <w:r>
        <w:rPr>
          <w:rFonts w:ascii="Trebuchet MS" w:hAnsi="Trebuchet MS"/>
          <w:b w:val="0"/>
          <w:bCs/>
          <w:sz w:val="22"/>
          <w:szCs w:val="22"/>
        </w:rPr>
        <w:t xml:space="preserve">                   </w:t>
      </w:r>
      <w:r w:rsidRPr="00D066F5">
        <w:rPr>
          <w:rFonts w:ascii="Trebuchet MS" w:hAnsi="Trebuchet MS"/>
          <w:b w:val="0"/>
          <w:bCs/>
          <w:sz w:val="22"/>
          <w:szCs w:val="22"/>
          <w:u w:val="single"/>
        </w:rPr>
        <w:t>Proposed Plan</w:t>
      </w:r>
      <w:r>
        <w:rPr>
          <w:rFonts w:ascii="Trebuchet MS" w:hAnsi="Trebuchet MS"/>
          <w:b w:val="0"/>
          <w:bCs/>
          <w:sz w:val="22"/>
          <w:szCs w:val="22"/>
        </w:rPr>
        <w:t xml:space="preserve">                </w:t>
      </w:r>
      <w:r w:rsidRPr="00D066F5">
        <w:rPr>
          <w:rFonts w:ascii="Trebuchet MS" w:hAnsi="Trebuchet MS"/>
          <w:b w:val="0"/>
          <w:bCs/>
          <w:sz w:val="22"/>
          <w:szCs w:val="22"/>
          <w:u w:val="single"/>
        </w:rPr>
        <w:t>Proposed Elevations</w:t>
      </w:r>
      <w:r>
        <w:rPr>
          <w:rFonts w:ascii="Trebuchet MS" w:hAnsi="Trebuchet MS"/>
          <w:b w:val="0"/>
          <w:bCs/>
          <w:sz w:val="22"/>
          <w:szCs w:val="22"/>
        </w:rPr>
        <w:t xml:space="preserve">            </w:t>
      </w:r>
    </w:p>
    <w:p w:rsidR="00461AF9" w:rsidRPr="00FF3B1B" w:rsidRDefault="00461AF9">
      <w:pPr>
        <w:pStyle w:val="BodyText"/>
        <w:ind w:left="720" w:hanging="720"/>
        <w:jc w:val="both"/>
        <w:rPr>
          <w:rFonts w:ascii="Trebuchet MS" w:hAnsi="Trebuchet MS"/>
          <w:b w:val="0"/>
          <w:sz w:val="22"/>
          <w:szCs w:val="22"/>
        </w:rPr>
      </w:pPr>
    </w:p>
    <w:p w:rsidR="00461AF9" w:rsidRPr="00FF3B1B" w:rsidRDefault="00461AF9">
      <w:pPr>
        <w:numPr>
          <w:ilvl w:val="0"/>
          <w:numId w:val="24"/>
        </w:numPr>
        <w:ind w:hanging="720"/>
        <w:jc w:val="both"/>
        <w:rPr>
          <w:b/>
          <w:bCs/>
          <w:sz w:val="22"/>
          <w:szCs w:val="22"/>
        </w:rPr>
      </w:pPr>
      <w:r w:rsidRPr="00FF3B1B">
        <w:rPr>
          <w:b/>
          <w:bCs/>
          <w:sz w:val="22"/>
          <w:szCs w:val="22"/>
        </w:rPr>
        <w:t xml:space="preserve">RELEVANT PLANNING HISTORY </w:t>
      </w:r>
    </w:p>
    <w:p w:rsidR="00461AF9" w:rsidRDefault="00D066F5" w:rsidP="00D066F5">
      <w:pPr>
        <w:ind w:left="720"/>
        <w:jc w:val="both"/>
        <w:rPr>
          <w:bCs/>
          <w:sz w:val="22"/>
          <w:szCs w:val="22"/>
        </w:rPr>
      </w:pPr>
      <w:r>
        <w:rPr>
          <w:bCs/>
          <w:sz w:val="22"/>
          <w:szCs w:val="22"/>
        </w:rPr>
        <w:t>None</w:t>
      </w:r>
    </w:p>
    <w:p w:rsidR="0082088C" w:rsidRPr="00FF3B1B" w:rsidRDefault="0082088C" w:rsidP="00D066F5">
      <w:pPr>
        <w:ind w:left="720"/>
        <w:jc w:val="both"/>
        <w:rPr>
          <w:b/>
          <w:bCs/>
          <w:sz w:val="22"/>
          <w:szCs w:val="22"/>
        </w:rPr>
      </w:pPr>
    </w:p>
    <w:p w:rsidR="00461AF9" w:rsidRPr="00FF3B1B" w:rsidRDefault="00461AF9">
      <w:pPr>
        <w:jc w:val="both"/>
        <w:rPr>
          <w:b/>
          <w:bCs/>
          <w:sz w:val="22"/>
          <w:szCs w:val="22"/>
        </w:rPr>
      </w:pPr>
      <w:r w:rsidRPr="00FF3B1B">
        <w:rPr>
          <w:b/>
          <w:bCs/>
          <w:sz w:val="22"/>
          <w:szCs w:val="22"/>
        </w:rPr>
        <w:t>4.</w:t>
      </w:r>
      <w:r w:rsidRPr="00FF3B1B">
        <w:rPr>
          <w:b/>
          <w:bCs/>
          <w:sz w:val="22"/>
          <w:szCs w:val="22"/>
        </w:rPr>
        <w:tab/>
        <w:t>CONSULTATIONS</w:t>
      </w:r>
    </w:p>
    <w:p w:rsidR="00461AF9" w:rsidRDefault="00461AF9" w:rsidP="00D066F5">
      <w:pPr>
        <w:ind w:left="720"/>
        <w:jc w:val="both"/>
        <w:rPr>
          <w:sz w:val="22"/>
          <w:szCs w:val="22"/>
        </w:rPr>
      </w:pPr>
      <w:r w:rsidRPr="00FF3B1B">
        <w:rPr>
          <w:sz w:val="22"/>
          <w:szCs w:val="22"/>
        </w:rPr>
        <w:t>The following addresses were consulted by letter.</w:t>
      </w:r>
    </w:p>
    <w:p w:rsidR="00461AF9" w:rsidRPr="00FF3B1B" w:rsidRDefault="00461AF9" w:rsidP="00D066F5">
      <w:pPr>
        <w:ind w:left="720"/>
        <w:jc w:val="both"/>
        <w:rPr>
          <w:b/>
          <w:sz w:val="22"/>
          <w:szCs w:val="22"/>
        </w:rPr>
      </w:pPr>
    </w:p>
    <w:p w:rsidR="00461AF9" w:rsidRPr="00FF3B1B" w:rsidRDefault="00461AF9" w:rsidP="00D066F5">
      <w:pPr>
        <w:ind w:left="720"/>
        <w:rPr>
          <w:sz w:val="22"/>
          <w:szCs w:val="22"/>
        </w:rPr>
      </w:pPr>
      <w:r w:rsidRPr="00FF3B1B">
        <w:rPr>
          <w:sz w:val="22"/>
          <w:szCs w:val="22"/>
        </w:rPr>
        <w:t>1 Woodside Way, Reading, RG2 8SY</w:t>
      </w:r>
    </w:p>
    <w:p w:rsidR="00461AF9" w:rsidRPr="00FF3B1B" w:rsidRDefault="00461AF9" w:rsidP="00D066F5">
      <w:pPr>
        <w:ind w:left="720"/>
        <w:rPr>
          <w:sz w:val="22"/>
          <w:szCs w:val="22"/>
        </w:rPr>
      </w:pPr>
      <w:r>
        <w:rPr>
          <w:sz w:val="22"/>
          <w:szCs w:val="22"/>
        </w:rPr>
        <w:t>163 Whitley Wood Road, Reading, RG2 8LB</w:t>
      </w:r>
    </w:p>
    <w:p w:rsidR="00461AF9" w:rsidRPr="00FF3B1B" w:rsidRDefault="00461AF9" w:rsidP="00D066F5">
      <w:pPr>
        <w:ind w:left="720"/>
        <w:rPr>
          <w:sz w:val="22"/>
          <w:szCs w:val="22"/>
        </w:rPr>
      </w:pPr>
      <w:r w:rsidRPr="00FF3B1B">
        <w:rPr>
          <w:sz w:val="22"/>
          <w:szCs w:val="22"/>
        </w:rPr>
        <w:t>163a Whitley Wood Road, Reading, RG2 8LB</w:t>
      </w:r>
    </w:p>
    <w:p w:rsidR="00461AF9" w:rsidRPr="00FF3B1B" w:rsidRDefault="00461AF9" w:rsidP="00D066F5">
      <w:pPr>
        <w:ind w:left="720"/>
        <w:rPr>
          <w:sz w:val="22"/>
          <w:szCs w:val="22"/>
        </w:rPr>
      </w:pPr>
      <w:r w:rsidRPr="00FF3B1B">
        <w:rPr>
          <w:sz w:val="22"/>
          <w:szCs w:val="22"/>
        </w:rPr>
        <w:t>167 Whitley Wood Road, Reading, RG2 8LB</w:t>
      </w:r>
    </w:p>
    <w:p w:rsidR="00461AF9" w:rsidRPr="00FF3B1B" w:rsidRDefault="00461AF9" w:rsidP="00D066F5">
      <w:pPr>
        <w:ind w:left="1440" w:hanging="720"/>
        <w:jc w:val="both"/>
        <w:rPr>
          <w:sz w:val="22"/>
          <w:szCs w:val="22"/>
        </w:rPr>
      </w:pPr>
    </w:p>
    <w:p w:rsidR="00461AF9" w:rsidRPr="00FF3B1B" w:rsidRDefault="00D066F5" w:rsidP="00D066F5">
      <w:pPr>
        <w:ind w:left="1440" w:hanging="720"/>
        <w:jc w:val="both"/>
        <w:rPr>
          <w:sz w:val="22"/>
          <w:szCs w:val="22"/>
        </w:rPr>
      </w:pPr>
      <w:r>
        <w:rPr>
          <w:sz w:val="22"/>
          <w:szCs w:val="22"/>
        </w:rPr>
        <w:t>No l</w:t>
      </w:r>
      <w:r w:rsidR="00461AF9" w:rsidRPr="00FF3B1B">
        <w:rPr>
          <w:sz w:val="22"/>
          <w:szCs w:val="22"/>
        </w:rPr>
        <w:t>etters of representation have been received as follows:</w:t>
      </w:r>
    </w:p>
    <w:p w:rsidR="00461AF9" w:rsidRDefault="00461AF9" w:rsidP="00461AF9">
      <w:pPr>
        <w:jc w:val="both"/>
        <w:rPr>
          <w:sz w:val="22"/>
          <w:szCs w:val="22"/>
        </w:rPr>
      </w:pPr>
    </w:p>
    <w:p w:rsidR="00461AF9" w:rsidRPr="00D066F5" w:rsidRDefault="00461AF9" w:rsidP="00D066F5">
      <w:pPr>
        <w:overflowPunct/>
        <w:adjustRightInd/>
        <w:ind w:left="720"/>
        <w:jc w:val="both"/>
        <w:textAlignment w:val="auto"/>
        <w:rPr>
          <w:rFonts w:cs="Arial"/>
          <w:b/>
          <w:bCs/>
          <w:color w:val="000000"/>
          <w:sz w:val="22"/>
          <w:szCs w:val="22"/>
          <w:lang w:eastAsia="en-GB"/>
        </w:rPr>
      </w:pPr>
      <w:r w:rsidRPr="00D066F5">
        <w:rPr>
          <w:rFonts w:cs="Arial"/>
          <w:b/>
          <w:bCs/>
          <w:color w:val="000000"/>
          <w:sz w:val="22"/>
          <w:szCs w:val="22"/>
          <w:lang w:eastAsia="en-GB"/>
        </w:rPr>
        <w:t>Equality Act 2010:</w:t>
      </w:r>
    </w:p>
    <w:p w:rsidR="00461AF9" w:rsidRPr="00D066F5" w:rsidRDefault="00461AF9" w:rsidP="00D066F5">
      <w:pPr>
        <w:overflowPunct/>
        <w:adjustRightInd/>
        <w:ind w:left="720"/>
        <w:jc w:val="both"/>
        <w:textAlignment w:val="auto"/>
        <w:rPr>
          <w:rFonts w:cs="Arial"/>
          <w:bCs/>
          <w:color w:val="000000"/>
          <w:sz w:val="22"/>
          <w:szCs w:val="22"/>
          <w:lang w:eastAsia="en-GB"/>
        </w:rPr>
      </w:pPr>
      <w:r w:rsidRPr="00D066F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61AF9" w:rsidRPr="00FF3B1B" w:rsidRDefault="00461AF9">
      <w:pPr>
        <w:ind w:left="720" w:hanging="720"/>
        <w:jc w:val="both"/>
        <w:rPr>
          <w:sz w:val="22"/>
          <w:szCs w:val="22"/>
        </w:rPr>
      </w:pPr>
    </w:p>
    <w:p w:rsidR="00461AF9" w:rsidRPr="00FF3B1B" w:rsidRDefault="00D066F5" w:rsidP="00461AF9">
      <w:pPr>
        <w:numPr>
          <w:ilvl w:val="0"/>
          <w:numId w:val="29"/>
        </w:numPr>
        <w:jc w:val="both"/>
        <w:rPr>
          <w:b/>
          <w:bCs/>
          <w:sz w:val="22"/>
          <w:szCs w:val="22"/>
          <w:lang w:eastAsia="en-GB"/>
        </w:rPr>
      </w:pPr>
      <w:r>
        <w:rPr>
          <w:b/>
          <w:bCs/>
          <w:sz w:val="22"/>
          <w:szCs w:val="22"/>
          <w:lang w:eastAsia="en-GB"/>
        </w:rPr>
        <w:t xml:space="preserve">      </w:t>
      </w:r>
      <w:r w:rsidR="00461AF9" w:rsidRPr="00FF3B1B">
        <w:rPr>
          <w:b/>
          <w:bCs/>
          <w:sz w:val="22"/>
          <w:szCs w:val="22"/>
          <w:lang w:eastAsia="en-GB"/>
        </w:rPr>
        <w:t>LEGAL AND PLANNING POLICY CONTEXT</w:t>
      </w:r>
    </w:p>
    <w:p w:rsidR="00461AF9" w:rsidRPr="00FF3B1B" w:rsidRDefault="00461AF9" w:rsidP="00461AF9">
      <w:pPr>
        <w:ind w:left="720"/>
        <w:jc w:val="both"/>
        <w:rPr>
          <w:bCs/>
          <w:sz w:val="22"/>
          <w:szCs w:val="22"/>
          <w:lang w:eastAsia="en-GB"/>
        </w:rPr>
      </w:pPr>
    </w:p>
    <w:p w:rsidR="00461AF9" w:rsidRPr="00FF3B1B" w:rsidRDefault="00461AF9" w:rsidP="00D066F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461AF9" w:rsidRDefault="00461AF9" w:rsidP="00D066F5">
      <w:pPr>
        <w:ind w:left="1440"/>
        <w:jc w:val="both"/>
        <w:rPr>
          <w:rFonts w:cs="TrebuchetMS"/>
          <w:sz w:val="22"/>
          <w:szCs w:val="22"/>
          <w:highlight w:val="yellow"/>
          <w:lang w:eastAsia="en-GB"/>
        </w:rPr>
      </w:pPr>
    </w:p>
    <w:p w:rsidR="00461AF9" w:rsidRPr="00FF3B1B" w:rsidRDefault="00461AF9" w:rsidP="00D066F5">
      <w:pPr>
        <w:ind w:left="720"/>
        <w:jc w:val="both"/>
        <w:rPr>
          <w:b/>
          <w:bCs/>
          <w:sz w:val="22"/>
          <w:szCs w:val="22"/>
          <w:u w:val="single"/>
          <w:lang w:eastAsia="en-GB"/>
        </w:rPr>
      </w:pPr>
      <w:r w:rsidRPr="00FF3B1B">
        <w:rPr>
          <w:b/>
          <w:bCs/>
          <w:sz w:val="22"/>
          <w:szCs w:val="22"/>
          <w:u w:val="single"/>
          <w:lang w:eastAsia="en-GB"/>
        </w:rPr>
        <w:t>National Policy</w:t>
      </w:r>
    </w:p>
    <w:p w:rsidR="00461AF9" w:rsidRPr="00FF3B1B" w:rsidRDefault="00461AF9" w:rsidP="00D066F5">
      <w:pPr>
        <w:ind w:left="720"/>
        <w:jc w:val="both"/>
        <w:rPr>
          <w:bCs/>
          <w:sz w:val="22"/>
          <w:szCs w:val="22"/>
          <w:lang w:eastAsia="en-GB"/>
        </w:rPr>
      </w:pPr>
      <w:r w:rsidRPr="00FF3B1B">
        <w:rPr>
          <w:bCs/>
          <w:sz w:val="22"/>
          <w:szCs w:val="22"/>
          <w:lang w:eastAsia="en-GB"/>
        </w:rPr>
        <w:t xml:space="preserve">National Planning Policy Framework </w:t>
      </w:r>
    </w:p>
    <w:p w:rsidR="00461AF9" w:rsidRPr="00FF3B1B" w:rsidRDefault="00461AF9" w:rsidP="00D066F5">
      <w:pPr>
        <w:ind w:left="720"/>
        <w:jc w:val="both"/>
        <w:rPr>
          <w:bCs/>
          <w:sz w:val="22"/>
          <w:szCs w:val="22"/>
          <w:lang w:eastAsia="en-GB"/>
        </w:rPr>
      </w:pPr>
      <w:r w:rsidRPr="00FF3B1B">
        <w:rPr>
          <w:bCs/>
          <w:sz w:val="22"/>
          <w:szCs w:val="22"/>
          <w:lang w:eastAsia="en-GB"/>
        </w:rPr>
        <w:t>National Planning Practice Guidance</w:t>
      </w:r>
    </w:p>
    <w:p w:rsidR="00461AF9" w:rsidRDefault="00461AF9" w:rsidP="00D066F5">
      <w:pPr>
        <w:ind w:left="720"/>
        <w:jc w:val="both"/>
        <w:rPr>
          <w:bCs/>
          <w:sz w:val="22"/>
          <w:szCs w:val="22"/>
          <w:lang w:eastAsia="en-GB"/>
        </w:rPr>
      </w:pPr>
    </w:p>
    <w:p w:rsidR="00461AF9" w:rsidRPr="00FF3B1B" w:rsidRDefault="00461AF9" w:rsidP="00D066F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461AF9" w:rsidRPr="00917B3D" w:rsidRDefault="00461AF9" w:rsidP="00D066F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461AF9" w:rsidRPr="00917B3D" w:rsidRDefault="00461AF9" w:rsidP="00D066F5">
      <w:pPr>
        <w:ind w:left="720"/>
        <w:jc w:val="both"/>
        <w:rPr>
          <w:bCs/>
          <w:sz w:val="22"/>
          <w:szCs w:val="22"/>
        </w:rPr>
      </w:pPr>
      <w:r>
        <w:rPr>
          <w:bCs/>
          <w:sz w:val="22"/>
          <w:szCs w:val="22"/>
        </w:rPr>
        <w:lastRenderedPageBreak/>
        <w:t>CC8</w:t>
      </w:r>
      <w:r w:rsidRPr="00917B3D">
        <w:rPr>
          <w:bCs/>
          <w:sz w:val="22"/>
          <w:szCs w:val="22"/>
        </w:rPr>
        <w:t xml:space="preserve"> (Safeguarding Amenity) </w:t>
      </w:r>
    </w:p>
    <w:p w:rsidR="00461AF9" w:rsidRDefault="00461AF9" w:rsidP="00D066F5">
      <w:pPr>
        <w:ind w:left="720"/>
        <w:jc w:val="both"/>
        <w:rPr>
          <w:bCs/>
          <w:sz w:val="22"/>
          <w:szCs w:val="22"/>
        </w:rPr>
      </w:pPr>
      <w:r>
        <w:rPr>
          <w:bCs/>
          <w:sz w:val="22"/>
          <w:szCs w:val="22"/>
        </w:rPr>
        <w:t>H9</w:t>
      </w:r>
      <w:r w:rsidRPr="00917B3D">
        <w:rPr>
          <w:bCs/>
          <w:sz w:val="22"/>
          <w:szCs w:val="22"/>
        </w:rPr>
        <w:t xml:space="preserve"> (House Extensions and Ancillary Accommodation)</w:t>
      </w:r>
    </w:p>
    <w:p w:rsidR="00461AF9" w:rsidRPr="00FF3B1B" w:rsidRDefault="00461AF9" w:rsidP="00461AF9">
      <w:pPr>
        <w:jc w:val="both"/>
        <w:rPr>
          <w:bCs/>
          <w:sz w:val="22"/>
          <w:szCs w:val="22"/>
          <w:lang w:eastAsia="en-GB"/>
        </w:rPr>
      </w:pPr>
    </w:p>
    <w:p w:rsidR="00461AF9" w:rsidRPr="00FF3B1B" w:rsidRDefault="00461AF9" w:rsidP="00D066F5">
      <w:pPr>
        <w:ind w:left="720"/>
        <w:jc w:val="both"/>
        <w:rPr>
          <w:b/>
          <w:bCs/>
          <w:sz w:val="22"/>
          <w:szCs w:val="22"/>
          <w:u w:val="single"/>
          <w:lang w:eastAsia="en-GB"/>
        </w:rPr>
      </w:pPr>
      <w:r w:rsidRPr="00FF3B1B">
        <w:rPr>
          <w:b/>
          <w:bCs/>
          <w:sz w:val="22"/>
          <w:szCs w:val="22"/>
          <w:u w:val="single"/>
          <w:lang w:eastAsia="en-GB"/>
        </w:rPr>
        <w:t>SPD</w:t>
      </w:r>
    </w:p>
    <w:p w:rsidR="00461AF9" w:rsidRDefault="00461AF9" w:rsidP="00D066F5">
      <w:pPr>
        <w:overflowPunct/>
        <w:autoSpaceDE/>
        <w:autoSpaceDN/>
        <w:adjustRightInd/>
        <w:ind w:left="720"/>
        <w:textAlignment w:val="auto"/>
        <w:rPr>
          <w:sz w:val="22"/>
          <w:szCs w:val="22"/>
        </w:rPr>
      </w:pPr>
      <w:r w:rsidRPr="00FF3B1B">
        <w:rPr>
          <w:sz w:val="22"/>
          <w:szCs w:val="22"/>
        </w:rPr>
        <w:t>Design</w:t>
      </w:r>
      <w:r w:rsidR="00D066F5">
        <w:rPr>
          <w:sz w:val="22"/>
          <w:szCs w:val="22"/>
        </w:rPr>
        <w:t xml:space="preserve"> Guide to House Extensions (2021)</w:t>
      </w:r>
    </w:p>
    <w:p w:rsidR="00461AF9" w:rsidRPr="00FF3B1B" w:rsidRDefault="00461AF9">
      <w:pPr>
        <w:jc w:val="both"/>
        <w:rPr>
          <w:b/>
          <w:bCs/>
          <w:sz w:val="22"/>
          <w:szCs w:val="22"/>
        </w:rPr>
      </w:pPr>
    </w:p>
    <w:p w:rsidR="00461AF9" w:rsidRPr="00FF3B1B" w:rsidRDefault="00461AF9">
      <w:pPr>
        <w:jc w:val="both"/>
        <w:rPr>
          <w:b/>
          <w:bCs/>
          <w:sz w:val="22"/>
          <w:szCs w:val="22"/>
        </w:rPr>
      </w:pPr>
      <w:r w:rsidRPr="00FF3B1B">
        <w:rPr>
          <w:b/>
          <w:bCs/>
          <w:sz w:val="22"/>
          <w:szCs w:val="22"/>
        </w:rPr>
        <w:t>6.</w:t>
      </w:r>
      <w:r w:rsidRPr="00FF3B1B">
        <w:rPr>
          <w:b/>
          <w:bCs/>
          <w:sz w:val="22"/>
          <w:szCs w:val="22"/>
        </w:rPr>
        <w:tab/>
        <w:t>APPRAISAL</w:t>
      </w:r>
    </w:p>
    <w:p w:rsidR="00461AF9" w:rsidRPr="006D3285" w:rsidRDefault="00461AF9" w:rsidP="00D066F5">
      <w:pPr>
        <w:ind w:left="720"/>
        <w:rPr>
          <w:b/>
          <w:bCs/>
          <w:sz w:val="22"/>
          <w:szCs w:val="22"/>
          <w:u w:val="single"/>
          <w:lang w:eastAsia="en-GB"/>
        </w:rPr>
      </w:pPr>
      <w:r w:rsidRPr="006D3285">
        <w:rPr>
          <w:b/>
          <w:bCs/>
          <w:sz w:val="22"/>
          <w:szCs w:val="22"/>
          <w:u w:val="single"/>
          <w:lang w:eastAsia="en-GB"/>
        </w:rPr>
        <w:t>Character and Appearance</w:t>
      </w:r>
    </w:p>
    <w:p w:rsidR="00461AF9" w:rsidRPr="006D3285" w:rsidRDefault="00461AF9" w:rsidP="0082088C">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461AF9" w:rsidRPr="00FA05A6" w:rsidRDefault="00461AF9" w:rsidP="0082088C">
      <w:pPr>
        <w:overflowPunct/>
        <w:adjustRightInd/>
        <w:contextualSpacing/>
        <w:jc w:val="both"/>
        <w:textAlignment w:val="auto"/>
        <w:rPr>
          <w:sz w:val="22"/>
          <w:szCs w:val="22"/>
          <w:u w:val="single"/>
          <w:lang w:eastAsia="en-GB"/>
        </w:rPr>
      </w:pPr>
    </w:p>
    <w:p w:rsidR="00DE70EC" w:rsidRDefault="00D066F5" w:rsidP="0082088C">
      <w:pPr>
        <w:overflowPunct/>
        <w:adjustRightInd/>
        <w:ind w:left="720"/>
        <w:contextualSpacing/>
        <w:jc w:val="both"/>
        <w:textAlignment w:val="auto"/>
        <w:rPr>
          <w:bCs/>
          <w:iCs/>
          <w:sz w:val="22"/>
          <w:szCs w:val="22"/>
          <w:lang w:eastAsia="en-GB"/>
        </w:rPr>
      </w:pPr>
      <w:r w:rsidRPr="00DE70EC">
        <w:rPr>
          <w:bCs/>
          <w:iCs/>
          <w:sz w:val="22"/>
          <w:szCs w:val="22"/>
          <w:lang w:eastAsia="en-GB"/>
        </w:rPr>
        <w:t>All aspects of this application are at a single storey level, restricted to the side that is facing a private drive way and to the rear of the property. All materials to be used externally are also to match the existing materials.</w:t>
      </w:r>
    </w:p>
    <w:p w:rsidR="0082088C" w:rsidRPr="00DE70EC" w:rsidRDefault="0082088C" w:rsidP="0082088C">
      <w:pPr>
        <w:overflowPunct/>
        <w:adjustRightInd/>
        <w:ind w:left="720"/>
        <w:contextualSpacing/>
        <w:jc w:val="both"/>
        <w:textAlignment w:val="auto"/>
        <w:rPr>
          <w:bCs/>
          <w:iCs/>
          <w:sz w:val="22"/>
          <w:szCs w:val="22"/>
          <w:lang w:eastAsia="en-GB"/>
        </w:rPr>
      </w:pPr>
    </w:p>
    <w:p w:rsidR="00461AF9" w:rsidRPr="00DE70EC" w:rsidRDefault="00DE70EC" w:rsidP="0082088C">
      <w:pPr>
        <w:overflowPunct/>
        <w:adjustRightInd/>
        <w:ind w:left="720"/>
        <w:contextualSpacing/>
        <w:jc w:val="both"/>
        <w:textAlignment w:val="auto"/>
        <w:rPr>
          <w:sz w:val="22"/>
          <w:szCs w:val="22"/>
          <w:u w:val="single"/>
          <w:lang w:eastAsia="en-GB"/>
        </w:rPr>
      </w:pPr>
      <w:r w:rsidRPr="00DE70EC">
        <w:rPr>
          <w:bCs/>
          <w:iCs/>
          <w:sz w:val="22"/>
          <w:szCs w:val="22"/>
          <w:lang w:eastAsia="en-GB"/>
        </w:rPr>
        <w:t>It is therefore considered that no aspect of this proposal will impact negatively on the existing dwelling or the neighbours in terms of scale, location, materials and design.</w:t>
      </w:r>
      <w:r w:rsidRPr="00DE70EC">
        <w:rPr>
          <w:sz w:val="22"/>
          <w:szCs w:val="22"/>
          <w:u w:val="single"/>
          <w:lang w:eastAsia="en-GB"/>
        </w:rPr>
        <w:t xml:space="preserve"> </w:t>
      </w:r>
    </w:p>
    <w:p w:rsidR="00DE70EC" w:rsidRDefault="00DE70EC" w:rsidP="0082088C">
      <w:pPr>
        <w:ind w:left="720"/>
        <w:jc w:val="both"/>
        <w:rPr>
          <w:b/>
          <w:bCs/>
          <w:sz w:val="22"/>
          <w:szCs w:val="22"/>
          <w:u w:val="single"/>
          <w:lang w:eastAsia="en-GB"/>
        </w:rPr>
      </w:pPr>
    </w:p>
    <w:p w:rsidR="00461AF9" w:rsidRPr="00FA05A6" w:rsidRDefault="00461AF9" w:rsidP="0082088C">
      <w:pPr>
        <w:ind w:left="720"/>
        <w:jc w:val="both"/>
        <w:rPr>
          <w:b/>
          <w:bCs/>
          <w:sz w:val="22"/>
          <w:szCs w:val="22"/>
          <w:u w:val="single"/>
          <w:lang w:eastAsia="en-GB"/>
        </w:rPr>
      </w:pPr>
      <w:r w:rsidRPr="006D3285">
        <w:rPr>
          <w:b/>
          <w:bCs/>
          <w:sz w:val="22"/>
          <w:szCs w:val="22"/>
          <w:u w:val="single"/>
          <w:lang w:eastAsia="en-GB"/>
        </w:rPr>
        <w:t>Residential Amenity</w:t>
      </w:r>
    </w:p>
    <w:p w:rsidR="00461AF9" w:rsidRPr="006D3285" w:rsidRDefault="00461AF9" w:rsidP="0082088C">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461AF9" w:rsidRPr="006D3285" w:rsidRDefault="00461AF9" w:rsidP="0082088C">
      <w:pPr>
        <w:overflowPunct/>
        <w:adjustRightInd/>
        <w:jc w:val="both"/>
        <w:textAlignment w:val="auto"/>
        <w:rPr>
          <w:color w:val="000000"/>
          <w:sz w:val="22"/>
          <w:szCs w:val="22"/>
          <w:lang w:eastAsia="en-GB"/>
        </w:rPr>
      </w:pPr>
    </w:p>
    <w:p w:rsidR="00461AF9" w:rsidRPr="00DE70EC" w:rsidRDefault="00461AF9" w:rsidP="0082088C">
      <w:pPr>
        <w:numPr>
          <w:ilvl w:val="0"/>
          <w:numId w:val="30"/>
        </w:numPr>
        <w:overflowPunct/>
        <w:adjustRightInd/>
        <w:contextualSpacing/>
        <w:jc w:val="both"/>
        <w:textAlignment w:val="auto"/>
        <w:rPr>
          <w:b/>
          <w:iCs/>
          <w:color w:val="000000"/>
          <w:sz w:val="22"/>
          <w:szCs w:val="22"/>
          <w:lang w:eastAsia="en-GB"/>
        </w:rPr>
      </w:pPr>
      <w:r w:rsidRPr="0082088C">
        <w:rPr>
          <w:i/>
          <w:iCs/>
          <w:color w:val="000000"/>
          <w:sz w:val="22"/>
          <w:szCs w:val="22"/>
          <w:lang w:eastAsia="en-GB"/>
        </w:rPr>
        <w:t>Privacy and overlooking</w:t>
      </w:r>
      <w:r w:rsidR="00DE70EC">
        <w:rPr>
          <w:iCs/>
          <w:color w:val="000000"/>
          <w:sz w:val="22"/>
          <w:szCs w:val="22"/>
          <w:lang w:eastAsia="en-GB"/>
        </w:rPr>
        <w:t>: The extension presented by this proposal will be on the side adjoining a private drive way which is at least 3m in width, separating the potential extension from the next property. Therefore a combination of this factor and the limited height of the extension to a single storey ensures that there is no perceived impact on the privacy of the adjoining property.</w:t>
      </w:r>
      <w:r w:rsidRPr="00DE70EC">
        <w:rPr>
          <w:b/>
          <w:iCs/>
          <w:color w:val="000000"/>
          <w:sz w:val="22"/>
          <w:szCs w:val="22"/>
          <w:lang w:eastAsia="en-GB"/>
        </w:rPr>
        <w:t xml:space="preserve">  </w:t>
      </w:r>
    </w:p>
    <w:p w:rsidR="00461AF9" w:rsidRPr="00DE70EC" w:rsidRDefault="00461AF9" w:rsidP="0082088C">
      <w:pPr>
        <w:numPr>
          <w:ilvl w:val="0"/>
          <w:numId w:val="35"/>
        </w:numPr>
        <w:overflowPunct/>
        <w:adjustRightInd/>
        <w:contextualSpacing/>
        <w:jc w:val="both"/>
        <w:textAlignment w:val="auto"/>
        <w:rPr>
          <w:b/>
          <w:iCs/>
          <w:color w:val="000000"/>
          <w:sz w:val="22"/>
          <w:szCs w:val="22"/>
          <w:lang w:eastAsia="en-GB"/>
        </w:rPr>
      </w:pPr>
      <w:r w:rsidRPr="0082088C">
        <w:rPr>
          <w:i/>
          <w:iCs/>
          <w:color w:val="000000"/>
          <w:sz w:val="22"/>
          <w:szCs w:val="22"/>
          <w:lang w:eastAsia="en-GB"/>
        </w:rPr>
        <w:t>Overbearing effects</w:t>
      </w:r>
      <w:r w:rsidR="00DE70EC">
        <w:rPr>
          <w:iCs/>
          <w:color w:val="000000"/>
          <w:sz w:val="22"/>
          <w:szCs w:val="22"/>
          <w:lang w:eastAsia="en-GB"/>
        </w:rPr>
        <w:t xml:space="preserve">: As stated above, the extension is on a scale and position that presents no overbearing effect on any property in close proximity. </w:t>
      </w:r>
    </w:p>
    <w:p w:rsidR="00461AF9" w:rsidRDefault="00461AF9" w:rsidP="0082088C">
      <w:pPr>
        <w:numPr>
          <w:ilvl w:val="0"/>
          <w:numId w:val="33"/>
        </w:numPr>
        <w:overflowPunct/>
        <w:autoSpaceDE/>
        <w:autoSpaceDN/>
        <w:adjustRightInd/>
        <w:contextualSpacing/>
        <w:jc w:val="both"/>
        <w:textAlignment w:val="auto"/>
        <w:rPr>
          <w:iCs/>
          <w:color w:val="000000"/>
          <w:sz w:val="22"/>
          <w:szCs w:val="22"/>
          <w:lang w:eastAsia="en-GB"/>
        </w:rPr>
      </w:pPr>
      <w:r w:rsidRPr="0082088C">
        <w:rPr>
          <w:i/>
          <w:iCs/>
          <w:color w:val="000000"/>
          <w:sz w:val="22"/>
          <w:szCs w:val="22"/>
          <w:lang w:eastAsia="en-GB"/>
        </w:rPr>
        <w:t>Sunlight and daylight</w:t>
      </w:r>
      <w:r w:rsidRPr="00DE70EC">
        <w:rPr>
          <w:iCs/>
          <w:color w:val="000000"/>
          <w:sz w:val="22"/>
          <w:szCs w:val="22"/>
          <w:lang w:eastAsia="en-GB"/>
        </w:rPr>
        <w:t xml:space="preserve">; </w:t>
      </w:r>
      <w:r w:rsidR="00DE70EC">
        <w:rPr>
          <w:iCs/>
          <w:color w:val="000000"/>
          <w:sz w:val="22"/>
          <w:szCs w:val="22"/>
          <w:lang w:eastAsia="en-GB"/>
        </w:rPr>
        <w:t>There is no issue of this occurring as there is ample separation from the next property at No 163.</w:t>
      </w:r>
    </w:p>
    <w:p w:rsidR="0082088C" w:rsidRPr="00DE70EC" w:rsidRDefault="0082088C" w:rsidP="0082088C">
      <w:pPr>
        <w:numPr>
          <w:ilvl w:val="0"/>
          <w:numId w:val="33"/>
        </w:numPr>
        <w:overflowPunct/>
        <w:autoSpaceDE/>
        <w:autoSpaceDN/>
        <w:adjustRightInd/>
        <w:contextualSpacing/>
        <w:jc w:val="both"/>
        <w:textAlignment w:val="auto"/>
        <w:rPr>
          <w:iCs/>
          <w:color w:val="000000"/>
          <w:sz w:val="22"/>
          <w:szCs w:val="22"/>
          <w:lang w:eastAsia="en-GB"/>
        </w:rPr>
      </w:pPr>
      <w:r w:rsidRPr="0082088C">
        <w:rPr>
          <w:i/>
          <w:iCs/>
          <w:color w:val="000000"/>
          <w:sz w:val="22"/>
          <w:szCs w:val="22"/>
          <w:lang w:eastAsia="en-GB"/>
        </w:rPr>
        <w:t>Amenity Space:</w:t>
      </w:r>
      <w:r>
        <w:rPr>
          <w:iCs/>
          <w:color w:val="000000"/>
          <w:sz w:val="22"/>
          <w:szCs w:val="22"/>
          <w:lang w:eastAsia="en-GB"/>
        </w:rPr>
        <w:t xml:space="preserve"> there would be sufficient amenity space remaining</w:t>
      </w:r>
    </w:p>
    <w:p w:rsidR="00461AF9" w:rsidRPr="00356D64" w:rsidRDefault="00461AF9" w:rsidP="0082088C">
      <w:pPr>
        <w:jc w:val="both"/>
        <w:rPr>
          <w:color w:val="000000"/>
          <w:sz w:val="22"/>
          <w:szCs w:val="22"/>
          <w:lang w:eastAsia="en-GB"/>
        </w:rPr>
      </w:pPr>
    </w:p>
    <w:p w:rsidR="00461AF9" w:rsidRDefault="00461AF9" w:rsidP="0082088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61AF9" w:rsidRDefault="00461AF9" w:rsidP="0082088C">
      <w:pPr>
        <w:ind w:left="720"/>
        <w:jc w:val="both"/>
        <w:rPr>
          <w:bCs/>
          <w:sz w:val="22"/>
          <w:szCs w:val="22"/>
          <w:lang w:eastAsia="en-GB"/>
        </w:rPr>
      </w:pPr>
      <w:r w:rsidRPr="00DE70EC">
        <w:rPr>
          <w:bCs/>
          <w:sz w:val="22"/>
          <w:szCs w:val="22"/>
          <w:lang w:eastAsia="en-GB"/>
        </w:rPr>
        <w:t>The proposed development has been assessed as set out above and is considered to be acceptable on that basis, subject to the following conditions.</w:t>
      </w:r>
    </w:p>
    <w:p w:rsidR="008C3E41" w:rsidRPr="00FA05A6" w:rsidRDefault="008C3E41" w:rsidP="0082088C">
      <w:pPr>
        <w:ind w:left="720"/>
        <w:jc w:val="both"/>
        <w:rPr>
          <w:bCs/>
          <w:sz w:val="22"/>
          <w:szCs w:val="22"/>
          <w:lang w:eastAsia="en-GB"/>
        </w:rPr>
      </w:pPr>
    </w:p>
    <w:p w:rsidR="00461AF9" w:rsidRPr="00FF3B1B" w:rsidRDefault="00461AF9" w:rsidP="0082088C">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DE70EC">
        <w:rPr>
          <w:rFonts w:ascii="Trebuchet MS" w:hAnsi="Trebuchet MS"/>
          <w:b/>
          <w:bCs/>
          <w:sz w:val="22"/>
          <w:szCs w:val="22"/>
        </w:rPr>
        <w:t>ECOMMENDATION: Grant</w:t>
      </w:r>
      <w:r w:rsidRPr="00FF3B1B">
        <w:rPr>
          <w:rFonts w:ascii="Trebuchet MS" w:hAnsi="Trebuchet MS"/>
          <w:b/>
          <w:bCs/>
          <w:sz w:val="22"/>
          <w:szCs w:val="22"/>
        </w:rPr>
        <w:t xml:space="preserve"> </w:t>
      </w:r>
    </w:p>
    <w:p w:rsidR="00461AF9" w:rsidRDefault="00461AF9" w:rsidP="0082088C">
      <w:pPr>
        <w:ind w:left="731" w:hanging="11"/>
        <w:jc w:val="both"/>
        <w:rPr>
          <w:rFonts w:cs="Trebuchet MS"/>
          <w:sz w:val="22"/>
          <w:szCs w:val="22"/>
          <w:lang w:eastAsia="en-GB"/>
        </w:rPr>
      </w:pPr>
      <w:r w:rsidRPr="006511AF">
        <w:rPr>
          <w:rFonts w:cs="Trebuchet MS"/>
          <w:sz w:val="22"/>
          <w:szCs w:val="22"/>
          <w:lang w:eastAsia="en-GB"/>
        </w:rPr>
        <w:t>Recommended Conditions:</w:t>
      </w:r>
    </w:p>
    <w:p w:rsidR="00DE70EC" w:rsidRDefault="00DE70EC" w:rsidP="0082088C">
      <w:pPr>
        <w:ind w:left="731" w:hanging="11"/>
        <w:jc w:val="both"/>
        <w:rPr>
          <w:rFonts w:cs="Trebuchet MS"/>
          <w:sz w:val="22"/>
          <w:szCs w:val="22"/>
          <w:lang w:eastAsia="en-GB"/>
        </w:rPr>
      </w:pPr>
      <w:r>
        <w:rPr>
          <w:rFonts w:cs="Trebuchet MS"/>
          <w:sz w:val="22"/>
          <w:szCs w:val="22"/>
          <w:lang w:eastAsia="en-GB"/>
        </w:rPr>
        <w:t>AP1 : Approved Plans</w:t>
      </w:r>
    </w:p>
    <w:p w:rsidR="00DE70EC" w:rsidRDefault="00DE70EC" w:rsidP="0082088C">
      <w:pPr>
        <w:ind w:left="731" w:hanging="11"/>
        <w:jc w:val="both"/>
        <w:rPr>
          <w:rFonts w:cs="Trebuchet MS"/>
          <w:sz w:val="22"/>
          <w:szCs w:val="22"/>
          <w:lang w:eastAsia="en-GB"/>
        </w:rPr>
      </w:pPr>
      <w:r>
        <w:rPr>
          <w:rFonts w:cs="Trebuchet MS"/>
          <w:sz w:val="22"/>
          <w:szCs w:val="22"/>
          <w:lang w:eastAsia="en-GB"/>
        </w:rPr>
        <w:t>M1: Materials to Match Existing</w:t>
      </w:r>
    </w:p>
    <w:p w:rsidR="00DE70EC" w:rsidRPr="006511AF" w:rsidRDefault="00DE70EC" w:rsidP="0082088C">
      <w:pPr>
        <w:ind w:left="731" w:hanging="11"/>
        <w:jc w:val="both"/>
        <w:rPr>
          <w:rFonts w:cs="Trebuchet MS"/>
          <w:sz w:val="22"/>
          <w:szCs w:val="22"/>
          <w:lang w:eastAsia="en-GB"/>
        </w:rPr>
      </w:pPr>
      <w:r>
        <w:rPr>
          <w:rFonts w:cs="Trebuchet MS"/>
          <w:sz w:val="22"/>
          <w:szCs w:val="22"/>
          <w:lang w:eastAsia="en-GB"/>
        </w:rPr>
        <w:lastRenderedPageBreak/>
        <w:t>TL1: Time Limit Standards</w:t>
      </w:r>
    </w:p>
    <w:sectPr w:rsidR="00DE70EC" w:rsidRPr="006511AF" w:rsidSect="00461AF9">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9E1" w:rsidRDefault="008879E1">
      <w:r>
        <w:separator/>
      </w:r>
    </w:p>
  </w:endnote>
  <w:endnote w:type="continuationSeparator" w:id="0">
    <w:p w:rsidR="008879E1" w:rsidRDefault="0088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68B" w:rsidRDefault="008A76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9E1" w:rsidRDefault="008879E1">
      <w:r>
        <w:separator/>
      </w:r>
    </w:p>
  </w:footnote>
  <w:footnote w:type="continuationSeparator" w:id="0">
    <w:p w:rsidR="008879E1" w:rsidRDefault="00887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3D2"/>
    <w:multiLevelType w:val="hybridMultilevel"/>
    <w:tmpl w:val="280EFB88"/>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3"/>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2"/>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1"/>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0829"/>
    <w:rsid w:val="000E7658"/>
    <w:rsid w:val="00124461"/>
    <w:rsid w:val="00280619"/>
    <w:rsid w:val="003E6F5B"/>
    <w:rsid w:val="00461AF9"/>
    <w:rsid w:val="004B7076"/>
    <w:rsid w:val="00804C74"/>
    <w:rsid w:val="0082088C"/>
    <w:rsid w:val="008879E1"/>
    <w:rsid w:val="008A768B"/>
    <w:rsid w:val="008C3E41"/>
    <w:rsid w:val="00A63C56"/>
    <w:rsid w:val="00BF5118"/>
    <w:rsid w:val="00D066F5"/>
    <w:rsid w:val="00DE70EC"/>
    <w:rsid w:val="00E62AFC"/>
    <w:rsid w:val="00ED6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26"/>
        <o:r id="V:Rule2" type="connector" idref="#_x0000_s1027"/>
      </o:rules>
    </o:shapelayout>
  </w:shapeDefaults>
  <w:decimalSymbol w:val="."/>
  <w:listSeparator w:val=","/>
  <w15:chartTrackingRefBased/>
  <w15:docId w15:val="{50E5A490-C062-4DE3-A570-8D73525D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A768B"/>
    <w:rPr>
      <w:sz w:val="16"/>
      <w:szCs w:val="16"/>
    </w:rPr>
  </w:style>
  <w:style w:type="paragraph" w:styleId="CommentText">
    <w:name w:val="annotation text"/>
    <w:basedOn w:val="Normal"/>
    <w:link w:val="CommentTextChar"/>
    <w:rsid w:val="008A768B"/>
    <w:rPr>
      <w:sz w:val="20"/>
    </w:rPr>
  </w:style>
  <w:style w:type="character" w:customStyle="1" w:styleId="CommentTextChar">
    <w:name w:val="Comment Text Char"/>
    <w:link w:val="CommentText"/>
    <w:rsid w:val="008A768B"/>
    <w:rPr>
      <w:rFonts w:ascii="Trebuchet MS" w:hAnsi="Trebuchet MS"/>
      <w:lang w:eastAsia="en-US"/>
    </w:rPr>
  </w:style>
  <w:style w:type="paragraph" w:styleId="CommentSubject">
    <w:name w:val="annotation subject"/>
    <w:basedOn w:val="CommentText"/>
    <w:next w:val="CommentText"/>
    <w:link w:val="CommentSubjectChar"/>
    <w:rsid w:val="008A768B"/>
    <w:rPr>
      <w:b/>
      <w:bCs/>
    </w:rPr>
  </w:style>
  <w:style w:type="character" w:customStyle="1" w:styleId="CommentSubjectChar">
    <w:name w:val="Comment Subject Char"/>
    <w:link w:val="CommentSubject"/>
    <w:rsid w:val="008A768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2022-11-08T09:55:00Z</dcterms:created>
  <dcterms:modified xsi:type="dcterms:W3CDTF">2022-11-08T09:55:00Z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