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0CCB" w:rsidRPr="00FF3B1B" w:rsidRDefault="00FC0CCB">
      <w:pPr>
        <w:pStyle w:val="BodyText"/>
        <w:tabs>
          <w:tab w:val="left" w:pos="2552"/>
        </w:tabs>
        <w:ind w:left="2552" w:hanging="2552"/>
        <w:jc w:val="both"/>
        <w:rPr>
          <w:rFonts w:ascii="Trebuchet MS" w:hAnsi="Trebuchet MS"/>
          <w:b w:val="0"/>
          <w:sz w:val="22"/>
          <w:szCs w:val="22"/>
        </w:rPr>
      </w:pPr>
      <w:bookmarkStart w:id="0" w:name="_GoBack"/>
      <w:bookmarkEnd w:id="0"/>
    </w:p>
    <w:p w:rsidR="00FC0CCB" w:rsidRPr="00FF3B1B" w:rsidRDefault="00FC0CCB" w:rsidP="00FC0CCB">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FC0CCB" w:rsidRPr="00FF3B1B" w:rsidRDefault="00FC0CCB" w:rsidP="00FC0CCB">
      <w:pPr>
        <w:pStyle w:val="BodyText"/>
        <w:tabs>
          <w:tab w:val="left" w:pos="2552"/>
        </w:tabs>
        <w:ind w:left="3272" w:hanging="2552"/>
        <w:jc w:val="both"/>
        <w:rPr>
          <w:rFonts w:ascii="Trebuchet MS" w:hAnsi="Trebuchet MS"/>
          <w:sz w:val="22"/>
          <w:szCs w:val="22"/>
        </w:rPr>
      </w:pPr>
    </w:p>
    <w:p w:rsidR="00FC0CCB" w:rsidRPr="00FF3B1B" w:rsidRDefault="00FC0CCB" w:rsidP="00FC0CCB">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Mapledurham</w:t>
      </w:r>
    </w:p>
    <w:p w:rsidR="00FC0CCB" w:rsidRPr="00FF3B1B" w:rsidRDefault="00FC0CCB" w:rsidP="00FC0CCB">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220207</w:t>
      </w:r>
      <w:r w:rsidRPr="00FF3B1B">
        <w:rPr>
          <w:rFonts w:ascii="Trebuchet MS" w:hAnsi="Trebuchet MS"/>
          <w:b w:val="0"/>
          <w:sz w:val="22"/>
          <w:szCs w:val="22"/>
        </w:rPr>
        <w:t>/</w:t>
      </w:r>
      <w:r w:rsidRPr="00FF3B1B">
        <w:rPr>
          <w:rFonts w:ascii="Trebuchet MS" w:hAnsi="Trebuchet MS"/>
          <w:sz w:val="22"/>
          <w:szCs w:val="22"/>
        </w:rPr>
        <w:t>CLP</w:t>
      </w:r>
    </w:p>
    <w:p w:rsidR="00FC0CCB" w:rsidRPr="00FF3B1B" w:rsidRDefault="00FC0CCB" w:rsidP="00FC0CCB">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 Mapledene, Reading, RG4 7DQ</w:t>
      </w:r>
    </w:p>
    <w:p w:rsidR="00FC0CCB" w:rsidRPr="00FF3B1B" w:rsidRDefault="00FC0CCB" w:rsidP="00FC0CCB">
      <w:pPr>
        <w:ind w:left="720"/>
        <w:rPr>
          <w:sz w:val="22"/>
          <w:szCs w:val="22"/>
        </w:rPr>
      </w:pPr>
      <w:r w:rsidRPr="00FF3B1B">
        <w:rPr>
          <w:b/>
          <w:sz w:val="22"/>
          <w:szCs w:val="22"/>
        </w:rPr>
        <w:t>Proposals</w:t>
      </w:r>
      <w:r w:rsidRPr="00FF3B1B">
        <w:rPr>
          <w:sz w:val="22"/>
          <w:szCs w:val="22"/>
        </w:rPr>
        <w:t xml:space="preserve">: </w:t>
      </w:r>
      <w:r w:rsidR="004401B9" w:rsidRPr="004401B9">
        <w:rPr>
          <w:rFonts w:cs="Trebuchet MS"/>
          <w:sz w:val="22"/>
          <w:szCs w:val="22"/>
        </w:rPr>
        <w:t>Proposed single storey rear extension and roof lights</w:t>
      </w:r>
    </w:p>
    <w:p w:rsidR="00FC0CCB" w:rsidRPr="00FF3B1B" w:rsidRDefault="00FC0CCB" w:rsidP="00FC0CCB">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FC0CCB" w:rsidRPr="00FF3B1B" w:rsidRDefault="00FC0CCB" w:rsidP="00FC0CCB">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Kulkarni</w:t>
      </w:r>
    </w:p>
    <w:p w:rsidR="00FC0CCB" w:rsidRDefault="00FC0CCB" w:rsidP="00FC0CCB">
      <w:pPr>
        <w:pStyle w:val="BodyText"/>
        <w:ind w:left="720"/>
        <w:jc w:val="both"/>
        <w:rPr>
          <w:rFonts w:ascii="Trebuchet MS" w:hAnsi="Trebuchet MS"/>
          <w:sz w:val="22"/>
          <w:szCs w:val="22"/>
        </w:rPr>
      </w:pPr>
      <w:r w:rsidRPr="00FF3B1B">
        <w:rPr>
          <w:rFonts w:ascii="Trebuchet MS" w:hAnsi="Trebuchet MS"/>
          <w:sz w:val="22"/>
          <w:szCs w:val="22"/>
        </w:rPr>
        <w:t>Date received (valid from): 15 February 2022</w:t>
      </w:r>
      <w:r>
        <w:rPr>
          <w:rFonts w:ascii="Trebuchet MS" w:hAnsi="Trebuchet MS"/>
          <w:sz w:val="22"/>
          <w:szCs w:val="22"/>
        </w:rPr>
        <w:t xml:space="preserve">      </w:t>
      </w:r>
    </w:p>
    <w:p w:rsidR="00FC0CCB" w:rsidRPr="00FF3B1B" w:rsidRDefault="00FC0CCB" w:rsidP="00FC0CCB">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607886">
        <w:rPr>
          <w:rFonts w:ascii="Trebuchet MS" w:hAnsi="Trebuchet MS" w:cs="Trebuchet MS"/>
          <w:noProof/>
          <w:sz w:val="22"/>
          <w:szCs w:val="22"/>
        </w:rPr>
        <w:t>24</w:t>
      </w:r>
      <w:r w:rsidR="004A1982" w:rsidRPr="004A1982">
        <w:rPr>
          <w:rFonts w:ascii="Trebuchet MS" w:hAnsi="Trebuchet MS" w:cs="Trebuchet MS"/>
          <w:noProof/>
          <w:sz w:val="22"/>
          <w:szCs w:val="22"/>
          <w:vertAlign w:val="superscript"/>
        </w:rPr>
        <w:t>th</w:t>
      </w:r>
      <w:r w:rsidR="004A1982">
        <w:rPr>
          <w:rFonts w:ascii="Trebuchet MS" w:hAnsi="Trebuchet MS" w:cs="Trebuchet MS"/>
          <w:noProof/>
          <w:sz w:val="22"/>
          <w:szCs w:val="22"/>
        </w:rPr>
        <w:t xml:space="preserve"> June 2022 (Ext)</w:t>
      </w:r>
      <w:r w:rsidRPr="00FF3B1B">
        <w:rPr>
          <w:rFonts w:ascii="Trebuchet MS" w:hAnsi="Trebuchet MS"/>
          <w:sz w:val="22"/>
          <w:szCs w:val="22"/>
        </w:rPr>
        <w:tab/>
      </w:r>
    </w:p>
    <w:p w:rsidR="00FC0CCB" w:rsidRPr="00FF3B1B" w:rsidRDefault="00FC0CCB" w:rsidP="00FC0CCB">
      <w:pPr>
        <w:pStyle w:val="BodyText"/>
        <w:tabs>
          <w:tab w:val="left" w:pos="2552"/>
        </w:tabs>
        <w:ind w:left="3272" w:hanging="2552"/>
        <w:jc w:val="both"/>
        <w:rPr>
          <w:rFonts w:ascii="Trebuchet MS" w:hAnsi="Trebuchet MS"/>
          <w:b w:val="0"/>
          <w:sz w:val="22"/>
          <w:szCs w:val="22"/>
        </w:rPr>
      </w:pPr>
    </w:p>
    <w:p w:rsidR="00FC0CCB" w:rsidRPr="006E2296" w:rsidRDefault="00FC0CCB" w:rsidP="006E2296">
      <w:pPr>
        <w:pStyle w:val="ListParagraph"/>
        <w:contextualSpacing/>
        <w:jc w:val="both"/>
        <w:textAlignment w:val="auto"/>
        <w:rPr>
          <w:b/>
          <w:bCs/>
          <w:sz w:val="22"/>
          <w:szCs w:val="22"/>
          <w:u w:val="single"/>
        </w:rPr>
      </w:pPr>
      <w:r w:rsidRPr="006E2296">
        <w:rPr>
          <w:b/>
          <w:bCs/>
          <w:sz w:val="22"/>
          <w:szCs w:val="22"/>
          <w:u w:val="single"/>
        </w:rPr>
        <w:t>INTRODUCTION</w:t>
      </w:r>
    </w:p>
    <w:p w:rsidR="00FC0CCB" w:rsidRDefault="00FC0CCB" w:rsidP="00FC0CCB">
      <w:pPr>
        <w:ind w:left="720"/>
        <w:jc w:val="both"/>
        <w:rPr>
          <w:color w:val="000000"/>
          <w:sz w:val="22"/>
        </w:rPr>
      </w:pPr>
      <w:r>
        <w:rPr>
          <w:rFonts w:cs="Courier New"/>
          <w:sz w:val="22"/>
          <w:szCs w:val="22"/>
          <w:lang w:eastAsia="en-GB"/>
        </w:rPr>
        <w:t>The prop</w:t>
      </w:r>
      <w:r w:rsidR="005A28D1">
        <w:rPr>
          <w:rFonts w:cs="Courier New"/>
          <w:sz w:val="22"/>
          <w:szCs w:val="22"/>
          <w:lang w:eastAsia="en-GB"/>
        </w:rPr>
        <w:t>osed site is located on the northern</w:t>
      </w:r>
      <w:r>
        <w:rPr>
          <w:rFonts w:cs="Courier New"/>
          <w:sz w:val="22"/>
          <w:szCs w:val="22"/>
          <w:lang w:eastAsia="en-GB"/>
        </w:rPr>
        <w:t xml:space="preserve"> side of the cul-de-sac that is Mapledene. It is a detached residential dwelling, one of five of similarly styled and sized buildings that make up the Mapledene.</w:t>
      </w:r>
    </w:p>
    <w:p w:rsidR="00FC0CCB" w:rsidRPr="00FC0CCB" w:rsidRDefault="00FC0CCB" w:rsidP="00FC0CCB">
      <w:pPr>
        <w:ind w:left="720"/>
        <w:jc w:val="both"/>
        <w:rPr>
          <w:color w:val="000000"/>
          <w:sz w:val="22"/>
        </w:rPr>
      </w:pPr>
    </w:p>
    <w:p w:rsidR="006E2296" w:rsidRPr="00FF3B1B" w:rsidRDefault="006E2296" w:rsidP="006E2296">
      <w:pPr>
        <w:ind w:left="720"/>
        <w:jc w:val="both"/>
        <w:rPr>
          <w:sz w:val="22"/>
          <w:szCs w:val="22"/>
        </w:rPr>
      </w:pPr>
      <w:r>
        <w:rPr>
          <w:sz w:val="22"/>
          <w:szCs w:val="22"/>
        </w:rPr>
        <w:t xml:space="preserve">The application site is not a listed building or located in a conservation area. It is not in an area subject to any Article 4 restrictions. </w:t>
      </w:r>
    </w:p>
    <w:p w:rsidR="00FC0CCB" w:rsidRDefault="00FC0CCB" w:rsidP="00FC0CCB">
      <w:pPr>
        <w:ind w:left="720"/>
        <w:jc w:val="both"/>
        <w:rPr>
          <w:b/>
          <w:bCs/>
          <w:sz w:val="22"/>
          <w:szCs w:val="22"/>
        </w:rPr>
      </w:pPr>
    </w:p>
    <w:p w:rsidR="00FC0CCB" w:rsidRPr="006E2296" w:rsidRDefault="00FC0CCB" w:rsidP="006E2296">
      <w:pPr>
        <w:pStyle w:val="ListParagraph"/>
        <w:contextualSpacing/>
        <w:jc w:val="both"/>
        <w:textAlignment w:val="auto"/>
        <w:rPr>
          <w:b/>
          <w:bCs/>
          <w:sz w:val="22"/>
          <w:szCs w:val="22"/>
          <w:u w:val="single"/>
        </w:rPr>
      </w:pPr>
      <w:r w:rsidRPr="006E2296">
        <w:rPr>
          <w:b/>
          <w:bCs/>
          <w:sz w:val="22"/>
          <w:szCs w:val="22"/>
          <w:u w:val="single"/>
        </w:rPr>
        <w:t>PROPOSAL AND SUPPORTING INFORMATION</w:t>
      </w:r>
    </w:p>
    <w:p w:rsidR="00FC0CCB" w:rsidRPr="00A104EC" w:rsidRDefault="006E2296" w:rsidP="00F7410D">
      <w:pPr>
        <w:ind w:left="720"/>
        <w:jc w:val="both"/>
        <w:rPr>
          <w:rFonts w:cs="Arial"/>
          <w:color w:val="000000"/>
          <w:sz w:val="22"/>
          <w:szCs w:val="22"/>
        </w:rPr>
      </w:pPr>
      <w:r>
        <w:rPr>
          <w:sz w:val="22"/>
          <w:szCs w:val="22"/>
        </w:rPr>
        <w:t xml:space="preserve">This proposal is for a Certificate of Lawfulness for a rear </w:t>
      </w:r>
      <w:r w:rsidR="005A28D1">
        <w:rPr>
          <w:rFonts w:cs="Arial"/>
          <w:sz w:val="22"/>
          <w:szCs w:val="22"/>
        </w:rPr>
        <w:t xml:space="preserve">extension, 2.996 </w:t>
      </w:r>
      <w:r>
        <w:rPr>
          <w:rFonts w:cs="Arial"/>
          <w:sz w:val="22"/>
          <w:szCs w:val="22"/>
        </w:rPr>
        <w:t>metres in depth</w:t>
      </w:r>
      <w:r w:rsidR="008D1C77">
        <w:rPr>
          <w:rFonts w:cs="Arial"/>
          <w:sz w:val="22"/>
          <w:szCs w:val="22"/>
        </w:rPr>
        <w:t xml:space="preserve"> and 2.6 metres in heigh</w:t>
      </w:r>
      <w:r w:rsidR="008D1C77" w:rsidRPr="00A62D45">
        <w:rPr>
          <w:rFonts w:cs="Arial"/>
          <w:sz w:val="22"/>
          <w:szCs w:val="22"/>
        </w:rPr>
        <w:t>t.</w:t>
      </w:r>
      <w:r w:rsidR="00F7410D" w:rsidRPr="00F7410D">
        <w:rPr>
          <w:rFonts w:cs="Arial"/>
          <w:color w:val="FF0000"/>
          <w:sz w:val="22"/>
          <w:szCs w:val="22"/>
        </w:rPr>
        <w:t xml:space="preserve">  </w:t>
      </w:r>
      <w:r w:rsidR="00F7410D" w:rsidRPr="00A104EC">
        <w:rPr>
          <w:rFonts w:cs="Arial"/>
          <w:color w:val="000000"/>
          <w:sz w:val="22"/>
          <w:szCs w:val="22"/>
        </w:rPr>
        <w:t>In addition the submitted proposed plans also show the following changes</w:t>
      </w:r>
      <w:r w:rsidR="00A62D45">
        <w:rPr>
          <w:rFonts w:cs="Arial"/>
          <w:color w:val="000000"/>
          <w:sz w:val="22"/>
          <w:szCs w:val="22"/>
        </w:rPr>
        <w:t>:</w:t>
      </w:r>
    </w:p>
    <w:p w:rsidR="00F7410D" w:rsidRPr="00A104EC" w:rsidRDefault="00F7410D" w:rsidP="00F7410D">
      <w:pPr>
        <w:numPr>
          <w:ilvl w:val="0"/>
          <w:numId w:val="36"/>
        </w:numPr>
        <w:jc w:val="both"/>
        <w:rPr>
          <w:rFonts w:cs="Arial"/>
          <w:color w:val="000000"/>
          <w:sz w:val="22"/>
          <w:szCs w:val="22"/>
        </w:rPr>
      </w:pPr>
      <w:r w:rsidRPr="00A104EC">
        <w:rPr>
          <w:rFonts w:cs="Arial"/>
          <w:color w:val="000000"/>
          <w:sz w:val="22"/>
          <w:szCs w:val="22"/>
        </w:rPr>
        <w:t>Enlargement of two existing rear facing roof lights (and removal of one existing roof light)</w:t>
      </w:r>
    </w:p>
    <w:p w:rsidR="004A1982" w:rsidRDefault="004A1982" w:rsidP="00FC0CCB">
      <w:pPr>
        <w:jc w:val="both"/>
        <w:rPr>
          <w:sz w:val="22"/>
          <w:szCs w:val="22"/>
        </w:rPr>
      </w:pPr>
    </w:p>
    <w:p w:rsidR="004A1982" w:rsidRDefault="00102627" w:rsidP="004A1982">
      <w:pPr>
        <w:jc w:val="center"/>
        <w:rPr>
          <w:noProof/>
          <w:lang w:eastAsia="en-GB"/>
        </w:rPr>
      </w:pPr>
      <w:r w:rsidRPr="00F556FE">
        <w:rPr>
          <w:noProof/>
          <w:lang w:eastAsia="en-GB"/>
        </w:rPr>
        <w:drawing>
          <wp:inline distT="0" distB="0" distL="0" distR="0">
            <wp:extent cx="5419090" cy="1568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19090" cy="1568450"/>
                    </a:xfrm>
                    <a:prstGeom prst="rect">
                      <a:avLst/>
                    </a:prstGeom>
                    <a:noFill/>
                    <a:ln>
                      <a:noFill/>
                    </a:ln>
                  </pic:spPr>
                </pic:pic>
              </a:graphicData>
            </a:graphic>
          </wp:inline>
        </w:drawing>
      </w:r>
    </w:p>
    <w:p w:rsidR="004A1982" w:rsidRDefault="004A1982" w:rsidP="004A1982">
      <w:pPr>
        <w:jc w:val="center"/>
        <w:rPr>
          <w:b/>
          <w:i/>
          <w:noProof/>
          <w:lang w:eastAsia="en-GB"/>
        </w:rPr>
      </w:pPr>
      <w:r w:rsidRPr="004A1982">
        <w:rPr>
          <w:b/>
          <w:i/>
          <w:noProof/>
          <w:lang w:eastAsia="en-GB"/>
        </w:rPr>
        <w:t>Existing rear and side elevations</w:t>
      </w:r>
    </w:p>
    <w:p w:rsidR="004A1982" w:rsidRDefault="004A1982" w:rsidP="004A1982">
      <w:pPr>
        <w:jc w:val="center"/>
        <w:rPr>
          <w:b/>
          <w:i/>
          <w:noProof/>
          <w:lang w:eastAsia="en-GB"/>
        </w:rPr>
      </w:pPr>
    </w:p>
    <w:p w:rsidR="004A1982" w:rsidRDefault="00102627" w:rsidP="004A1982">
      <w:pPr>
        <w:jc w:val="center"/>
        <w:rPr>
          <w:noProof/>
          <w:lang w:eastAsia="en-GB"/>
        </w:rPr>
      </w:pPr>
      <w:r w:rsidRPr="00EC3A01">
        <w:rPr>
          <w:noProof/>
          <w:lang w:eastAsia="en-GB"/>
        </w:rPr>
        <w:drawing>
          <wp:inline distT="0" distB="0" distL="0" distR="0">
            <wp:extent cx="6115685" cy="16529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5685" cy="1652905"/>
                    </a:xfrm>
                    <a:prstGeom prst="rect">
                      <a:avLst/>
                    </a:prstGeom>
                    <a:noFill/>
                    <a:ln>
                      <a:noFill/>
                    </a:ln>
                  </pic:spPr>
                </pic:pic>
              </a:graphicData>
            </a:graphic>
          </wp:inline>
        </w:drawing>
      </w:r>
    </w:p>
    <w:p w:rsidR="00EC3A01" w:rsidRDefault="00EC3A01" w:rsidP="00EC3A01">
      <w:pPr>
        <w:jc w:val="center"/>
        <w:rPr>
          <w:b/>
          <w:i/>
          <w:noProof/>
          <w:lang w:eastAsia="en-GB"/>
        </w:rPr>
      </w:pPr>
      <w:r>
        <w:rPr>
          <w:b/>
          <w:i/>
          <w:noProof/>
          <w:lang w:eastAsia="en-GB"/>
        </w:rPr>
        <w:t>Proposed</w:t>
      </w:r>
      <w:r w:rsidRPr="004A1982">
        <w:rPr>
          <w:b/>
          <w:i/>
          <w:noProof/>
          <w:lang w:eastAsia="en-GB"/>
        </w:rPr>
        <w:t xml:space="preserve"> rear and side elevations</w:t>
      </w:r>
    </w:p>
    <w:p w:rsidR="004A1982" w:rsidRDefault="004A1982" w:rsidP="004A1982">
      <w:pPr>
        <w:jc w:val="center"/>
        <w:rPr>
          <w:sz w:val="22"/>
          <w:szCs w:val="22"/>
        </w:rPr>
      </w:pPr>
    </w:p>
    <w:p w:rsidR="006E2296" w:rsidRPr="000C5D46" w:rsidRDefault="006E2296" w:rsidP="006E2296">
      <w:pPr>
        <w:overflowPunct/>
        <w:autoSpaceDE/>
        <w:autoSpaceDN/>
        <w:adjustRightInd/>
        <w:ind w:left="720"/>
        <w:jc w:val="both"/>
        <w:textAlignment w:val="auto"/>
        <w:rPr>
          <w:b/>
          <w:sz w:val="22"/>
          <w:szCs w:val="22"/>
          <w:u w:val="single"/>
        </w:rPr>
      </w:pPr>
      <w:r w:rsidRPr="0044437F">
        <w:rPr>
          <w:b/>
          <w:color w:val="000000"/>
          <w:sz w:val="22"/>
          <w:szCs w:val="22"/>
          <w:u w:val="single"/>
        </w:rPr>
        <w:t xml:space="preserve">Plans and Documents Considered </w:t>
      </w:r>
      <w:r w:rsidR="00901386">
        <w:rPr>
          <w:b/>
          <w:color w:val="000000"/>
          <w:sz w:val="22"/>
          <w:szCs w:val="22"/>
          <w:u w:val="single"/>
        </w:rPr>
        <w:t>(Received 16</w:t>
      </w:r>
      <w:r w:rsidR="00901386" w:rsidRPr="00901386">
        <w:rPr>
          <w:b/>
          <w:color w:val="000000"/>
          <w:sz w:val="22"/>
          <w:szCs w:val="22"/>
          <w:u w:val="single"/>
          <w:vertAlign w:val="superscript"/>
        </w:rPr>
        <w:t>th</w:t>
      </w:r>
      <w:r w:rsidR="00901386">
        <w:rPr>
          <w:b/>
          <w:color w:val="000000"/>
          <w:sz w:val="22"/>
          <w:szCs w:val="22"/>
          <w:u w:val="single"/>
        </w:rPr>
        <w:t xml:space="preserve"> February 2022)</w:t>
      </w:r>
    </w:p>
    <w:p w:rsidR="008D1C77" w:rsidRDefault="00DE0AB8" w:rsidP="008D1C77">
      <w:pPr>
        <w:ind w:left="1440" w:hanging="720"/>
        <w:jc w:val="both"/>
        <w:rPr>
          <w:color w:val="000000"/>
          <w:sz w:val="22"/>
          <w:szCs w:val="22"/>
        </w:rPr>
      </w:pPr>
      <w:r>
        <w:rPr>
          <w:color w:val="000000"/>
          <w:sz w:val="22"/>
          <w:szCs w:val="22"/>
        </w:rPr>
        <w:t>21005.S.PP-30 Existing Ground Floor Plan</w:t>
      </w:r>
    </w:p>
    <w:p w:rsidR="00DE0AB8" w:rsidRDefault="00DE0AB8" w:rsidP="008D1C77">
      <w:pPr>
        <w:ind w:left="1440" w:hanging="720"/>
        <w:jc w:val="both"/>
        <w:rPr>
          <w:color w:val="000000"/>
          <w:sz w:val="22"/>
          <w:szCs w:val="22"/>
        </w:rPr>
      </w:pPr>
      <w:r>
        <w:rPr>
          <w:color w:val="000000"/>
          <w:sz w:val="22"/>
          <w:szCs w:val="22"/>
        </w:rPr>
        <w:t>21005.S.PP-31 Existing Elevations</w:t>
      </w:r>
    </w:p>
    <w:p w:rsidR="00DE0AB8" w:rsidRDefault="00DE0AB8" w:rsidP="008D1C77">
      <w:pPr>
        <w:ind w:left="1440" w:hanging="720"/>
        <w:jc w:val="both"/>
        <w:rPr>
          <w:color w:val="000000"/>
          <w:sz w:val="22"/>
          <w:szCs w:val="22"/>
        </w:rPr>
      </w:pPr>
      <w:r>
        <w:rPr>
          <w:color w:val="000000"/>
          <w:sz w:val="22"/>
          <w:szCs w:val="22"/>
        </w:rPr>
        <w:t>21005.S.PP-32 Proposed Ground Floor Plan</w:t>
      </w:r>
    </w:p>
    <w:p w:rsidR="00DE0AB8" w:rsidRDefault="00DE0AB8" w:rsidP="008D1C77">
      <w:pPr>
        <w:ind w:left="1440" w:hanging="720"/>
        <w:jc w:val="both"/>
        <w:rPr>
          <w:color w:val="000000"/>
          <w:sz w:val="22"/>
          <w:szCs w:val="22"/>
        </w:rPr>
      </w:pPr>
      <w:r>
        <w:rPr>
          <w:color w:val="000000"/>
          <w:sz w:val="22"/>
          <w:szCs w:val="22"/>
        </w:rPr>
        <w:t>21005.S.PP-34 Location Plans</w:t>
      </w:r>
    </w:p>
    <w:p w:rsidR="00DE0AB8" w:rsidRDefault="00DE0AB8" w:rsidP="008D1C77">
      <w:pPr>
        <w:ind w:left="1440" w:hanging="720"/>
        <w:jc w:val="both"/>
        <w:rPr>
          <w:color w:val="000000"/>
          <w:sz w:val="22"/>
          <w:szCs w:val="22"/>
        </w:rPr>
      </w:pPr>
      <w:r>
        <w:rPr>
          <w:color w:val="000000"/>
          <w:sz w:val="22"/>
          <w:szCs w:val="22"/>
        </w:rPr>
        <w:t>21005.S.PP-35 Block Plan</w:t>
      </w:r>
    </w:p>
    <w:p w:rsidR="00901386" w:rsidRDefault="00901386" w:rsidP="00901386">
      <w:pPr>
        <w:ind w:left="1440" w:hanging="720"/>
        <w:jc w:val="both"/>
        <w:rPr>
          <w:color w:val="000000"/>
          <w:sz w:val="22"/>
          <w:szCs w:val="22"/>
        </w:rPr>
      </w:pPr>
      <w:r>
        <w:rPr>
          <w:color w:val="000000"/>
          <w:sz w:val="22"/>
          <w:szCs w:val="22"/>
        </w:rPr>
        <w:t>21005.S.PP-33 Rev A Proposed Elevations (Received 22/06/2022)</w:t>
      </w:r>
    </w:p>
    <w:p w:rsidR="006E2296" w:rsidRDefault="006E2296" w:rsidP="008D1C77">
      <w:pPr>
        <w:ind w:left="1440" w:hanging="720"/>
        <w:jc w:val="both"/>
        <w:rPr>
          <w:color w:val="000000"/>
          <w:sz w:val="22"/>
          <w:szCs w:val="22"/>
        </w:rPr>
      </w:pPr>
    </w:p>
    <w:p w:rsidR="006E2296" w:rsidRDefault="006E2296" w:rsidP="006E2296">
      <w:pPr>
        <w:overflowPunct/>
        <w:autoSpaceDE/>
        <w:autoSpaceDN/>
        <w:adjustRightInd/>
        <w:ind w:left="720"/>
        <w:jc w:val="both"/>
        <w:textAlignment w:val="auto"/>
        <w:rPr>
          <w:sz w:val="22"/>
          <w:szCs w:val="22"/>
        </w:rPr>
      </w:pPr>
      <w:r>
        <w:rPr>
          <w:sz w:val="22"/>
          <w:szCs w:val="22"/>
        </w:rPr>
        <w:t>Email from agent dated 17</w:t>
      </w:r>
      <w:r w:rsidRPr="006E2296">
        <w:rPr>
          <w:sz w:val="22"/>
          <w:szCs w:val="22"/>
          <w:vertAlign w:val="superscript"/>
        </w:rPr>
        <w:t>th</w:t>
      </w:r>
      <w:r>
        <w:rPr>
          <w:sz w:val="22"/>
          <w:szCs w:val="22"/>
        </w:rPr>
        <w:t xml:space="preserve"> May confirming matching materials.</w:t>
      </w:r>
    </w:p>
    <w:p w:rsidR="00EC3A01" w:rsidRDefault="00EC3A01" w:rsidP="006E2296">
      <w:pPr>
        <w:overflowPunct/>
        <w:autoSpaceDE/>
        <w:autoSpaceDN/>
        <w:adjustRightInd/>
        <w:ind w:left="720"/>
        <w:jc w:val="both"/>
        <w:textAlignment w:val="auto"/>
        <w:rPr>
          <w:sz w:val="22"/>
          <w:szCs w:val="22"/>
        </w:rPr>
      </w:pPr>
      <w:r>
        <w:rPr>
          <w:sz w:val="22"/>
          <w:szCs w:val="22"/>
        </w:rPr>
        <w:t>Email from agent dated 22</w:t>
      </w:r>
      <w:r w:rsidRPr="00EC3A01">
        <w:rPr>
          <w:sz w:val="22"/>
          <w:szCs w:val="22"/>
          <w:vertAlign w:val="superscript"/>
        </w:rPr>
        <w:t>nd</w:t>
      </w:r>
      <w:r>
        <w:rPr>
          <w:sz w:val="22"/>
          <w:szCs w:val="22"/>
        </w:rPr>
        <w:t xml:space="preserve"> June confirming new Velux windows to project 0.075m</w:t>
      </w:r>
    </w:p>
    <w:p w:rsidR="0077757D" w:rsidRPr="006E2296" w:rsidRDefault="0077757D" w:rsidP="008D1C77">
      <w:pPr>
        <w:ind w:left="1440" w:hanging="720"/>
        <w:jc w:val="both"/>
        <w:rPr>
          <w:color w:val="000000"/>
          <w:sz w:val="22"/>
          <w:szCs w:val="22"/>
          <w:u w:val="single"/>
        </w:rPr>
      </w:pPr>
    </w:p>
    <w:p w:rsidR="00FC0CCB" w:rsidRPr="006E2296" w:rsidRDefault="00FC0CCB" w:rsidP="006E2296">
      <w:pPr>
        <w:pStyle w:val="ListParagraph"/>
        <w:contextualSpacing/>
        <w:jc w:val="both"/>
        <w:textAlignment w:val="auto"/>
        <w:rPr>
          <w:sz w:val="22"/>
          <w:szCs w:val="22"/>
          <w:u w:val="single"/>
        </w:rPr>
      </w:pPr>
      <w:r w:rsidRPr="006E2296">
        <w:rPr>
          <w:b/>
          <w:bCs/>
          <w:sz w:val="22"/>
          <w:szCs w:val="22"/>
          <w:u w:val="single"/>
        </w:rPr>
        <w:t xml:space="preserve">RELEVANT PLANNING HISTORY </w:t>
      </w:r>
    </w:p>
    <w:p w:rsidR="00FC0CCB" w:rsidRPr="00F04C1C" w:rsidRDefault="00FC0CCB" w:rsidP="00FC0CCB">
      <w:pPr>
        <w:pStyle w:val="ListParagraph"/>
        <w:ind w:left="360"/>
        <w:jc w:val="both"/>
        <w:rPr>
          <w:sz w:val="22"/>
          <w:szCs w:val="22"/>
        </w:rPr>
      </w:pPr>
      <w:r>
        <w:rPr>
          <w:b/>
          <w:bCs/>
          <w:sz w:val="22"/>
          <w:szCs w:val="22"/>
        </w:rPr>
        <w:t xml:space="preserve">      </w:t>
      </w:r>
      <w:r w:rsidRPr="00F04C1C">
        <w:rPr>
          <w:sz w:val="22"/>
          <w:szCs w:val="22"/>
        </w:rPr>
        <w:t>None</w:t>
      </w:r>
    </w:p>
    <w:p w:rsidR="00FC0CCB" w:rsidRDefault="00FC0CCB" w:rsidP="00FC0CCB">
      <w:pPr>
        <w:ind w:left="720"/>
        <w:jc w:val="both"/>
        <w:rPr>
          <w:b/>
          <w:bCs/>
          <w:sz w:val="22"/>
          <w:szCs w:val="22"/>
        </w:rPr>
      </w:pPr>
    </w:p>
    <w:p w:rsidR="00FC0CCB" w:rsidRPr="006E2296" w:rsidRDefault="00FC0CCB" w:rsidP="006E2296">
      <w:pPr>
        <w:pStyle w:val="ListParagraph"/>
        <w:overflowPunct/>
        <w:autoSpaceDE/>
        <w:autoSpaceDN/>
        <w:adjustRightInd/>
        <w:contextualSpacing/>
        <w:jc w:val="both"/>
        <w:textAlignment w:val="auto"/>
        <w:rPr>
          <w:rFonts w:cs="Courier New"/>
          <w:b/>
          <w:color w:val="000000"/>
          <w:sz w:val="22"/>
          <w:szCs w:val="22"/>
          <w:u w:val="single"/>
          <w:lang w:eastAsia="en-GB"/>
        </w:rPr>
      </w:pPr>
      <w:r w:rsidRPr="006E2296">
        <w:rPr>
          <w:b/>
          <w:bCs/>
          <w:sz w:val="22"/>
          <w:szCs w:val="22"/>
          <w:u w:val="single"/>
        </w:rPr>
        <w:t>CONSULTATIONS</w:t>
      </w:r>
    </w:p>
    <w:p w:rsidR="006E2296" w:rsidRDefault="00FC0CCB" w:rsidP="00FC0CCB">
      <w:pPr>
        <w:ind w:left="720"/>
        <w:jc w:val="both"/>
        <w:rPr>
          <w:bCs/>
          <w:color w:val="000000"/>
          <w:sz w:val="22"/>
          <w:szCs w:val="22"/>
        </w:rPr>
      </w:pPr>
      <w:r>
        <w:rPr>
          <w:bCs/>
          <w:color w:val="000000"/>
          <w:sz w:val="22"/>
          <w:szCs w:val="22"/>
        </w:rPr>
        <w:t xml:space="preserve">No consultations were undertaken as it is not required for an application of this type. </w:t>
      </w:r>
    </w:p>
    <w:p w:rsidR="00315DC2" w:rsidRDefault="00315DC2" w:rsidP="00FC0CCB">
      <w:pPr>
        <w:ind w:left="720"/>
        <w:jc w:val="both"/>
        <w:rPr>
          <w:bCs/>
          <w:color w:val="000000"/>
          <w:sz w:val="22"/>
          <w:szCs w:val="22"/>
        </w:rPr>
      </w:pPr>
      <w:r>
        <w:rPr>
          <w:bCs/>
          <w:color w:val="000000"/>
          <w:sz w:val="22"/>
          <w:szCs w:val="22"/>
        </w:rPr>
        <w:t>Agent has sent in revised drawings to match description of proposal.</w:t>
      </w:r>
    </w:p>
    <w:p w:rsidR="006E2296" w:rsidRDefault="006E2296" w:rsidP="00FC0CCB">
      <w:pPr>
        <w:ind w:left="720"/>
        <w:jc w:val="both"/>
        <w:rPr>
          <w:bCs/>
          <w:color w:val="000000"/>
          <w:sz w:val="22"/>
          <w:szCs w:val="22"/>
        </w:rPr>
      </w:pPr>
    </w:p>
    <w:p w:rsidR="006E2296" w:rsidRPr="008C02B5" w:rsidRDefault="006E2296" w:rsidP="006E2296">
      <w:pPr>
        <w:overflowPunct/>
        <w:adjustRightInd/>
        <w:ind w:left="720"/>
        <w:jc w:val="both"/>
        <w:textAlignment w:val="auto"/>
        <w:rPr>
          <w:rFonts w:cs="Arial"/>
          <w:b/>
          <w:bCs/>
          <w:color w:val="000000"/>
          <w:sz w:val="22"/>
          <w:szCs w:val="22"/>
          <w:u w:val="single"/>
          <w:lang w:eastAsia="en-GB"/>
        </w:rPr>
      </w:pPr>
      <w:r w:rsidRPr="008C02B5">
        <w:rPr>
          <w:rFonts w:cs="Arial"/>
          <w:b/>
          <w:bCs/>
          <w:color w:val="000000"/>
          <w:sz w:val="22"/>
          <w:szCs w:val="22"/>
          <w:u w:val="single"/>
          <w:lang w:eastAsia="en-GB"/>
        </w:rPr>
        <w:t>Equality Act 2010:</w:t>
      </w:r>
    </w:p>
    <w:p w:rsidR="006E2296" w:rsidRDefault="006E2296" w:rsidP="006E2296">
      <w:pPr>
        <w:overflowPunct/>
        <w:adjustRightInd/>
        <w:ind w:left="720"/>
        <w:jc w:val="both"/>
        <w:textAlignment w:val="auto"/>
        <w:rPr>
          <w:rFonts w:cs="Arial"/>
          <w:bCs/>
          <w:color w:val="000000"/>
          <w:sz w:val="22"/>
          <w:szCs w:val="22"/>
          <w:lang w:eastAsia="en-GB"/>
        </w:rPr>
      </w:pPr>
      <w:r w:rsidRPr="00473895">
        <w:rPr>
          <w:rFonts w:cs="Arial"/>
          <w:bCs/>
          <w:color w:val="000000"/>
          <w:sz w:val="22"/>
          <w:szCs w:val="22"/>
          <w:lang w:eastAsia="en-GB"/>
        </w:rPr>
        <w:t>In determining this application the Council is required to have regard to its obligations</w:t>
      </w:r>
      <w:r>
        <w:rPr>
          <w:rFonts w:cs="Arial"/>
          <w:bCs/>
          <w:color w:val="000000"/>
          <w:sz w:val="22"/>
          <w:szCs w:val="22"/>
          <w:lang w:eastAsia="en-GB"/>
        </w:rPr>
        <w:t xml:space="preserve"> </w:t>
      </w:r>
      <w:r w:rsidRPr="00473895">
        <w:rPr>
          <w:rFonts w:cs="Arial"/>
          <w:bCs/>
          <w:color w:val="000000"/>
          <w:sz w:val="22"/>
          <w:szCs w:val="22"/>
          <w:lang w:eastAsia="en-GB"/>
        </w:rPr>
        <w:t>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C0CCB" w:rsidRDefault="00FC0CCB" w:rsidP="004A1982">
      <w:pPr>
        <w:ind w:left="720"/>
        <w:jc w:val="both"/>
        <w:rPr>
          <w:sz w:val="22"/>
          <w:szCs w:val="22"/>
        </w:rPr>
      </w:pPr>
      <w:r>
        <w:rPr>
          <w:bCs/>
          <w:color w:val="000000"/>
          <w:sz w:val="22"/>
          <w:szCs w:val="22"/>
        </w:rPr>
        <w:t xml:space="preserve"> </w:t>
      </w:r>
    </w:p>
    <w:p w:rsidR="00FC0CCB" w:rsidRPr="006E2296" w:rsidRDefault="00FC0CCB" w:rsidP="006E2296">
      <w:pPr>
        <w:pStyle w:val="ListParagraph"/>
        <w:tabs>
          <w:tab w:val="left" w:pos="709"/>
        </w:tabs>
        <w:ind w:left="709"/>
        <w:contextualSpacing/>
        <w:jc w:val="both"/>
        <w:textAlignment w:val="auto"/>
        <w:rPr>
          <w:b/>
          <w:color w:val="000000"/>
          <w:sz w:val="22"/>
          <w:szCs w:val="22"/>
          <w:u w:val="single"/>
        </w:rPr>
      </w:pPr>
      <w:r w:rsidRPr="006E2296">
        <w:rPr>
          <w:b/>
          <w:color w:val="000000"/>
          <w:sz w:val="22"/>
          <w:szCs w:val="22"/>
          <w:u w:val="single"/>
        </w:rPr>
        <w:t>RELEVANT PLANNING POLICY &amp; GUIDANCE</w:t>
      </w:r>
    </w:p>
    <w:p w:rsidR="006E2296" w:rsidRPr="00A55F3D" w:rsidRDefault="006E2296" w:rsidP="006E2296">
      <w:pPr>
        <w:overflowPunct/>
        <w:ind w:left="720"/>
        <w:jc w:val="both"/>
        <w:textAlignment w:val="auto"/>
        <w:rPr>
          <w:rFonts w:cs="Trebuchet MS"/>
          <w:color w:val="000000"/>
          <w:sz w:val="22"/>
          <w:szCs w:val="22"/>
          <w:lang w:eastAsia="en-GB"/>
        </w:rPr>
      </w:pPr>
      <w:r w:rsidRPr="00A55F3D">
        <w:rPr>
          <w:rFonts w:cs="Trebuchet MS"/>
          <w:color w:val="000000"/>
          <w:sz w:val="22"/>
          <w:szCs w:val="22"/>
          <w:lang w:eastAsia="en-GB"/>
        </w:rPr>
        <w:t xml:space="preserve">National Planning Practice Guidance </w:t>
      </w:r>
      <w:r>
        <w:rPr>
          <w:rFonts w:cs="Trebuchet MS"/>
          <w:color w:val="000000"/>
          <w:sz w:val="22"/>
          <w:szCs w:val="22"/>
          <w:lang w:eastAsia="en-GB"/>
        </w:rPr>
        <w:t xml:space="preserve"> </w:t>
      </w:r>
    </w:p>
    <w:p w:rsidR="006E2296" w:rsidRPr="00A55F3D" w:rsidRDefault="006E2296" w:rsidP="006E2296">
      <w:pPr>
        <w:overflowPunct/>
        <w:ind w:left="720"/>
        <w:jc w:val="both"/>
        <w:textAlignment w:val="auto"/>
        <w:rPr>
          <w:rFonts w:cs="Trebuchet MS"/>
          <w:color w:val="000000"/>
          <w:sz w:val="22"/>
          <w:szCs w:val="22"/>
          <w:lang w:eastAsia="en-GB"/>
        </w:rPr>
      </w:pPr>
      <w:r w:rsidRPr="00A55F3D">
        <w:rPr>
          <w:rFonts w:cs="Trebuchet MS"/>
          <w:color w:val="000000"/>
          <w:sz w:val="22"/>
          <w:szCs w:val="22"/>
          <w:lang w:eastAsia="en-GB"/>
        </w:rPr>
        <w:t xml:space="preserve">The Town and Country Planning (General Permitted Development) (England) Order 2015 (GPDO) </w:t>
      </w:r>
    </w:p>
    <w:p w:rsidR="00FC0CCB" w:rsidRDefault="006E2296" w:rsidP="006E2296">
      <w:pPr>
        <w:ind w:left="720"/>
        <w:jc w:val="both"/>
        <w:rPr>
          <w:color w:val="000000"/>
          <w:sz w:val="22"/>
          <w:szCs w:val="22"/>
        </w:rPr>
      </w:pPr>
      <w:r w:rsidRPr="00A55F3D">
        <w:rPr>
          <w:rFonts w:cs="Trebuchet MS"/>
          <w:color w:val="000000"/>
          <w:sz w:val="22"/>
          <w:szCs w:val="22"/>
          <w:lang w:eastAsia="en-GB"/>
        </w:rPr>
        <w:t>Permitted development rights for householders – Technical Guidance September 2019</w:t>
      </w:r>
    </w:p>
    <w:p w:rsidR="006E2296" w:rsidRDefault="006E2296" w:rsidP="006E2296">
      <w:pPr>
        <w:pStyle w:val="ListParagraph"/>
        <w:keepNext/>
        <w:ind w:left="360"/>
        <w:contextualSpacing/>
        <w:jc w:val="both"/>
        <w:textAlignment w:val="auto"/>
        <w:outlineLvl w:val="1"/>
        <w:rPr>
          <w:b/>
          <w:color w:val="000000"/>
          <w:sz w:val="22"/>
          <w:szCs w:val="22"/>
        </w:rPr>
      </w:pPr>
    </w:p>
    <w:p w:rsidR="00FC0CCB" w:rsidRPr="006E2296" w:rsidRDefault="00FC0CCB" w:rsidP="006E2296">
      <w:pPr>
        <w:pStyle w:val="ListParagraph"/>
        <w:keepNext/>
        <w:contextualSpacing/>
        <w:jc w:val="both"/>
        <w:textAlignment w:val="auto"/>
        <w:outlineLvl w:val="1"/>
        <w:rPr>
          <w:b/>
          <w:color w:val="000000"/>
          <w:sz w:val="22"/>
          <w:szCs w:val="22"/>
          <w:u w:val="single"/>
        </w:rPr>
      </w:pPr>
      <w:r w:rsidRPr="006E2296">
        <w:rPr>
          <w:b/>
          <w:color w:val="000000"/>
          <w:sz w:val="22"/>
          <w:szCs w:val="22"/>
          <w:u w:val="single"/>
        </w:rPr>
        <w:t>ASSESSMENT</w:t>
      </w:r>
      <w:r w:rsidR="006E2296">
        <w:rPr>
          <w:b/>
          <w:color w:val="000000"/>
          <w:sz w:val="22"/>
          <w:szCs w:val="22"/>
          <w:u w:val="single"/>
        </w:rPr>
        <w:t xml:space="preserve"> (Class A)</w:t>
      </w:r>
    </w:p>
    <w:p w:rsidR="00FC0CCB" w:rsidRDefault="00FC0CCB" w:rsidP="00FC0CCB">
      <w:pPr>
        <w:ind w:left="720"/>
        <w:jc w:val="both"/>
        <w:rPr>
          <w:bCs/>
          <w:color w:val="000000"/>
          <w:sz w:val="22"/>
          <w:szCs w:val="22"/>
        </w:rPr>
      </w:pPr>
      <w:r>
        <w:rPr>
          <w:bCs/>
          <w:color w:val="000000"/>
          <w:sz w:val="22"/>
          <w:szCs w:val="22"/>
        </w:rPr>
        <w:t xml:space="preserve">A Certificate of Lawfulness for a Proposed Development has been submitted as the applicant considers the proposal falls within the permitted development rights of the property.  </w:t>
      </w:r>
    </w:p>
    <w:p w:rsidR="00FC0CCB" w:rsidRDefault="00FC0CCB" w:rsidP="00FC0CCB">
      <w:pPr>
        <w:ind w:left="720"/>
        <w:jc w:val="both"/>
        <w:rPr>
          <w:bCs/>
          <w:color w:val="000000"/>
          <w:sz w:val="22"/>
          <w:szCs w:val="22"/>
        </w:rPr>
      </w:pPr>
    </w:p>
    <w:p w:rsidR="00FC0CCB" w:rsidRDefault="00FC0CCB" w:rsidP="00FC0CCB">
      <w:pPr>
        <w:ind w:left="720"/>
        <w:jc w:val="both"/>
        <w:rPr>
          <w:bCs/>
          <w:sz w:val="22"/>
          <w:szCs w:val="22"/>
        </w:rPr>
      </w:pPr>
      <w:r>
        <w:rPr>
          <w:bCs/>
          <w:color w:val="000000"/>
          <w:sz w:val="22"/>
          <w:szCs w:val="22"/>
        </w:rPr>
        <w:t>The proposal must be assessed to ensure that it complies with the conditions Class A, Part 1, Schedule 2 of the Town and Country Planning (General Permitted Development) (England) Order 2015 (as amended), which relates to ‘</w:t>
      </w:r>
      <w:r>
        <w:rPr>
          <w:bCs/>
          <w:sz w:val="22"/>
          <w:szCs w:val="22"/>
        </w:rPr>
        <w:t xml:space="preserve">The enlargement, improvement or other alteration of a dwellinghouse’. </w:t>
      </w:r>
    </w:p>
    <w:p w:rsidR="00FC0CCB" w:rsidRDefault="00FC0CCB" w:rsidP="00FC0CCB">
      <w:pPr>
        <w:ind w:left="720"/>
        <w:jc w:val="both"/>
        <w:rPr>
          <w:bCs/>
          <w:sz w:val="22"/>
          <w:szCs w:val="22"/>
        </w:rPr>
      </w:pPr>
    </w:p>
    <w:p w:rsidR="00FC0CCB" w:rsidRDefault="00FC0CCB" w:rsidP="00FC0CCB">
      <w:pPr>
        <w:ind w:left="720"/>
        <w:jc w:val="both"/>
        <w:rPr>
          <w:bCs/>
          <w:color w:val="000000"/>
          <w:sz w:val="22"/>
          <w:szCs w:val="22"/>
        </w:rPr>
      </w:pPr>
      <w:r>
        <w:rPr>
          <w:bCs/>
          <w:color w:val="000000"/>
          <w:sz w:val="22"/>
          <w:szCs w:val="22"/>
        </w:rPr>
        <w:t>A.1 Development is not permitted by Class A if:</w:t>
      </w:r>
    </w:p>
    <w:p w:rsidR="00FC0CCB" w:rsidRDefault="00FC0CCB" w:rsidP="00FC0CCB">
      <w:pPr>
        <w:ind w:left="720"/>
        <w:jc w:val="both"/>
        <w:rPr>
          <w:bCs/>
          <w:color w:val="000000"/>
          <w:sz w:val="22"/>
          <w:szCs w:val="22"/>
        </w:rPr>
      </w:pPr>
    </w:p>
    <w:p w:rsidR="00FC0CCB" w:rsidRDefault="00FC0CCB" w:rsidP="00FC0CCB">
      <w:pPr>
        <w:spacing w:after="200"/>
        <w:ind w:left="720"/>
        <w:jc w:val="both"/>
        <w:rPr>
          <w:b/>
          <w:color w:val="000000"/>
          <w:sz w:val="22"/>
          <w:szCs w:val="22"/>
        </w:rPr>
      </w:pPr>
      <w:r>
        <w:rPr>
          <w:color w:val="000000"/>
          <w:sz w:val="22"/>
          <w:szCs w:val="22"/>
        </w:rPr>
        <w:t>A.1 (a) permission to use the dwellinghouse as a dwellinghouse has been granted only by virtue of Class M, N, P or Q of Part 3 of this Schedule (changes of use)</w:t>
      </w:r>
      <w:r w:rsidR="00DE0AB8">
        <w:rPr>
          <w:color w:val="000000"/>
          <w:sz w:val="22"/>
          <w:szCs w:val="22"/>
        </w:rPr>
        <w:t xml:space="preserve"> </w:t>
      </w:r>
      <w:r w:rsidR="00DE0AB8" w:rsidRPr="00DE0AB8">
        <w:rPr>
          <w:b/>
          <w:color w:val="000000"/>
          <w:sz w:val="22"/>
          <w:szCs w:val="22"/>
        </w:rPr>
        <w:t>Complies</w:t>
      </w:r>
    </w:p>
    <w:p w:rsidR="00FC0CCB" w:rsidRDefault="00FC0CCB" w:rsidP="00FC0CCB">
      <w:pPr>
        <w:spacing w:after="200"/>
        <w:ind w:left="720"/>
        <w:jc w:val="both"/>
        <w:rPr>
          <w:b/>
          <w:color w:val="000000"/>
          <w:sz w:val="22"/>
          <w:szCs w:val="22"/>
        </w:rPr>
      </w:pPr>
      <w:r>
        <w:rPr>
          <w:color w:val="000000"/>
          <w:sz w:val="22"/>
          <w:szCs w:val="22"/>
        </w:rPr>
        <w:t>A.1 (b) as a result of the works, the total area of ground covered by buildings within the curtilage of the dwellinghouse (other than the original dwellinghouse) would exceed 50% of the total area of the curtilage (excluding the ground area of the original dwellinghouse)</w:t>
      </w:r>
      <w:r w:rsidR="00DE0AB8">
        <w:rPr>
          <w:color w:val="000000"/>
          <w:sz w:val="22"/>
          <w:szCs w:val="22"/>
        </w:rPr>
        <w:t xml:space="preserve"> </w:t>
      </w:r>
      <w:r w:rsidR="00DE0AB8" w:rsidRPr="00DE0AB8">
        <w:rPr>
          <w:b/>
          <w:color w:val="000000"/>
          <w:sz w:val="22"/>
          <w:szCs w:val="22"/>
        </w:rPr>
        <w:t>Complies</w:t>
      </w:r>
    </w:p>
    <w:p w:rsidR="00FC0CCB" w:rsidRPr="00DA0754" w:rsidRDefault="00FC0CCB" w:rsidP="00FC0CCB">
      <w:pPr>
        <w:spacing w:after="200"/>
        <w:ind w:left="720"/>
        <w:jc w:val="both"/>
        <w:rPr>
          <w:b/>
          <w:color w:val="000000"/>
          <w:sz w:val="22"/>
          <w:szCs w:val="22"/>
        </w:rPr>
      </w:pPr>
      <w:r w:rsidRPr="00DA0754">
        <w:rPr>
          <w:color w:val="000000"/>
          <w:sz w:val="22"/>
          <w:szCs w:val="22"/>
        </w:rPr>
        <w:t>A.1 (c) the height of the part of the dwellinghouse enlarged, improved or altered would exceed the height of the highest part of the roof of the existing dwellinghouse</w:t>
      </w:r>
      <w:r w:rsidR="00DE0AB8" w:rsidRPr="00DA0754">
        <w:rPr>
          <w:color w:val="000000"/>
          <w:sz w:val="22"/>
          <w:szCs w:val="22"/>
        </w:rPr>
        <w:t xml:space="preserve"> </w:t>
      </w:r>
      <w:r w:rsidR="00DA0754">
        <w:rPr>
          <w:b/>
          <w:color w:val="000000"/>
          <w:sz w:val="22"/>
          <w:szCs w:val="22"/>
        </w:rPr>
        <w:t>N/A</w:t>
      </w:r>
    </w:p>
    <w:p w:rsidR="00FC0CCB" w:rsidRDefault="00FC0CCB" w:rsidP="00FC0CCB">
      <w:pPr>
        <w:spacing w:after="200"/>
        <w:ind w:left="720"/>
        <w:jc w:val="both"/>
        <w:rPr>
          <w:color w:val="000000"/>
          <w:sz w:val="22"/>
          <w:szCs w:val="22"/>
        </w:rPr>
      </w:pPr>
      <w:r w:rsidRPr="00DA0754">
        <w:rPr>
          <w:color w:val="000000"/>
          <w:sz w:val="22"/>
          <w:szCs w:val="22"/>
        </w:rPr>
        <w:lastRenderedPageBreak/>
        <w:t>A.1 (d) the height of the eaves of the part of the dwellinghouse enlarged, improved or altered would exceed the height of the eaves of the existing dwellinghouse</w:t>
      </w:r>
      <w:r w:rsidR="00DE0AB8" w:rsidRPr="00DA0754">
        <w:rPr>
          <w:color w:val="000000"/>
          <w:sz w:val="22"/>
          <w:szCs w:val="22"/>
        </w:rPr>
        <w:t xml:space="preserve"> </w:t>
      </w:r>
      <w:r w:rsidR="00DA0754">
        <w:rPr>
          <w:b/>
          <w:color w:val="000000"/>
          <w:sz w:val="22"/>
          <w:szCs w:val="22"/>
        </w:rPr>
        <w:t>N/A</w:t>
      </w:r>
    </w:p>
    <w:p w:rsidR="00FC0CCB" w:rsidRDefault="00FC0CCB" w:rsidP="00FC0CCB">
      <w:pPr>
        <w:spacing w:after="200"/>
        <w:ind w:left="720"/>
        <w:jc w:val="both"/>
        <w:rPr>
          <w:b/>
          <w:color w:val="000000"/>
          <w:sz w:val="22"/>
          <w:szCs w:val="22"/>
        </w:rPr>
      </w:pPr>
      <w:r>
        <w:rPr>
          <w:color w:val="000000"/>
          <w:sz w:val="22"/>
          <w:szCs w:val="22"/>
        </w:rPr>
        <w:t>A.1 (e) the enlarged part of the dwellinghouse would extend beyond a wall which (i) forms the principal elevation of the original dwellinghouse; or (ii) fronts a highway and forms a side elevation of the original dwellinghouse</w:t>
      </w:r>
      <w:r w:rsidR="00DE0AB8">
        <w:rPr>
          <w:color w:val="000000"/>
          <w:sz w:val="22"/>
          <w:szCs w:val="22"/>
        </w:rPr>
        <w:t xml:space="preserve"> </w:t>
      </w:r>
      <w:r w:rsidR="00DE0AB8" w:rsidRPr="00DE0AB8">
        <w:rPr>
          <w:b/>
          <w:color w:val="000000"/>
          <w:sz w:val="22"/>
          <w:szCs w:val="22"/>
        </w:rPr>
        <w:t>Complies</w:t>
      </w:r>
    </w:p>
    <w:p w:rsidR="00FC0CCB" w:rsidRDefault="00FC0CCB" w:rsidP="00FC0CCB">
      <w:pPr>
        <w:spacing w:after="200"/>
        <w:ind w:left="720"/>
        <w:jc w:val="both"/>
        <w:rPr>
          <w:b/>
          <w:color w:val="000000"/>
          <w:sz w:val="22"/>
          <w:szCs w:val="22"/>
        </w:rPr>
      </w:pPr>
      <w:r>
        <w:rPr>
          <w:color w:val="000000"/>
          <w:sz w:val="22"/>
          <w:szCs w:val="22"/>
        </w:rPr>
        <w:t>A.1 (f) subject to paragraph (g), the enlarged part of the dwellinghouse would have a single storey and – (i) extend beyond the rear wall of the original dwellinghouse by more than 4 metres in the case of a detached dwellinghouse, or 3 metres in the case of any other dwellinghouse, (ii) exceed 4 metres in height</w:t>
      </w:r>
      <w:r w:rsidR="00DE0AB8">
        <w:rPr>
          <w:color w:val="000000"/>
          <w:sz w:val="22"/>
          <w:szCs w:val="22"/>
        </w:rPr>
        <w:t xml:space="preserve"> </w:t>
      </w:r>
      <w:r w:rsidR="00DE0AB8" w:rsidRPr="00DE0AB8">
        <w:rPr>
          <w:b/>
          <w:color w:val="000000"/>
          <w:sz w:val="22"/>
          <w:szCs w:val="22"/>
        </w:rPr>
        <w:t>Complies</w:t>
      </w:r>
    </w:p>
    <w:p w:rsidR="00FC0CCB" w:rsidRDefault="00FC0CCB" w:rsidP="00FC0CCB">
      <w:pPr>
        <w:spacing w:after="200"/>
        <w:ind w:left="720"/>
        <w:jc w:val="both"/>
        <w:rPr>
          <w:b/>
          <w:color w:val="000000"/>
          <w:sz w:val="22"/>
          <w:szCs w:val="22"/>
        </w:rPr>
      </w:pPr>
      <w:r>
        <w:rPr>
          <w:color w:val="000000"/>
          <w:sz w:val="22"/>
          <w:szCs w:val="22"/>
        </w:rPr>
        <w:t>A.1 (g) for a dwellinghouse not on article 2(3) land nor on a site of special scientific interest, the enlarged part of the dwellinghouse would have a single storey and – (i) extend beyond the rear wall of the original dwellinghouse by more than 8 metres in the case of a detached dwellinghouse, or 6 metres in the case of any other dwellinghouse,</w:t>
      </w:r>
      <w:r>
        <w:rPr>
          <w:b/>
          <w:color w:val="000000"/>
          <w:sz w:val="22"/>
          <w:szCs w:val="22"/>
        </w:rPr>
        <w:t xml:space="preserve"> </w:t>
      </w:r>
      <w:r>
        <w:rPr>
          <w:color w:val="000000"/>
          <w:sz w:val="22"/>
          <w:szCs w:val="22"/>
        </w:rPr>
        <w:t xml:space="preserve">or (ii) exceed 4 metres in height </w:t>
      </w:r>
      <w:r w:rsidR="00DE0AB8" w:rsidRPr="00DE0AB8">
        <w:rPr>
          <w:b/>
          <w:color w:val="000000"/>
          <w:sz w:val="22"/>
          <w:szCs w:val="22"/>
        </w:rPr>
        <w:t>Complies</w:t>
      </w:r>
    </w:p>
    <w:p w:rsidR="00FC0CCB" w:rsidRDefault="00FC0CCB" w:rsidP="00FC0CCB">
      <w:pPr>
        <w:spacing w:after="200"/>
        <w:ind w:left="720"/>
        <w:jc w:val="both"/>
        <w:rPr>
          <w:b/>
          <w:color w:val="000000"/>
          <w:sz w:val="22"/>
          <w:szCs w:val="22"/>
        </w:rPr>
      </w:pPr>
      <w:r>
        <w:rPr>
          <w:color w:val="000000"/>
          <w:sz w:val="22"/>
          <w:szCs w:val="22"/>
        </w:rPr>
        <w:t>A.1 (h) the enlarged part of the dwellinghouse would have more than a single storey and – (i) extend beyond the rear wall of the original dwellinghouse by more than 3 metres, or (ii) be within 7 metres of any boundary of the curtilage of the dwellinghouse opposite the rear wall of the dwellinghouse</w:t>
      </w:r>
      <w:r w:rsidR="00DE0AB8">
        <w:rPr>
          <w:color w:val="000000"/>
          <w:sz w:val="22"/>
          <w:szCs w:val="22"/>
        </w:rPr>
        <w:t xml:space="preserve"> </w:t>
      </w:r>
      <w:r w:rsidR="00DE0AB8" w:rsidRPr="00DE0AB8">
        <w:rPr>
          <w:b/>
          <w:color w:val="000000"/>
          <w:sz w:val="22"/>
          <w:szCs w:val="22"/>
        </w:rPr>
        <w:t>N/A</w:t>
      </w:r>
    </w:p>
    <w:p w:rsidR="00FC0CCB" w:rsidRDefault="00FC0CCB" w:rsidP="00FC0CCB">
      <w:pPr>
        <w:spacing w:after="200"/>
        <w:ind w:left="720"/>
        <w:jc w:val="both"/>
        <w:rPr>
          <w:b/>
          <w:color w:val="000000"/>
          <w:sz w:val="22"/>
          <w:szCs w:val="22"/>
        </w:rPr>
      </w:pPr>
      <w:r>
        <w:rPr>
          <w:color w:val="000000"/>
          <w:sz w:val="22"/>
          <w:szCs w:val="22"/>
        </w:rPr>
        <w:t>A.1 (i) the enlarged part of the dwellinghouse would be within 2 metres of the boundary of the curtilage of the dwellinghouse, and the height of the eaves of the enlarged part would exceed 3 metres</w:t>
      </w:r>
      <w:r w:rsidR="00DE0AB8">
        <w:rPr>
          <w:color w:val="000000"/>
          <w:sz w:val="22"/>
          <w:szCs w:val="22"/>
        </w:rPr>
        <w:t xml:space="preserve"> </w:t>
      </w:r>
      <w:r w:rsidR="00DE0AB8" w:rsidRPr="00DE0AB8">
        <w:rPr>
          <w:b/>
          <w:color w:val="000000"/>
          <w:sz w:val="22"/>
          <w:szCs w:val="22"/>
        </w:rPr>
        <w:t>Complies</w:t>
      </w:r>
    </w:p>
    <w:p w:rsidR="00FC0CCB" w:rsidRDefault="00FC0CCB" w:rsidP="00FC0CCB">
      <w:pPr>
        <w:spacing w:after="200"/>
        <w:ind w:left="720"/>
        <w:jc w:val="both"/>
        <w:rPr>
          <w:b/>
          <w:color w:val="000000"/>
          <w:sz w:val="22"/>
          <w:szCs w:val="22"/>
        </w:rPr>
      </w:pPr>
      <w:r>
        <w:rPr>
          <w:color w:val="000000"/>
          <w:sz w:val="22"/>
          <w:szCs w:val="22"/>
        </w:rPr>
        <w:t>A.1 (j) the enlarged part of the dwellinghouse would extend beyond a wall forming a side elevation of the original dwellinghouse, and would – (i) exceed 4 metres in height, (ii) have more than a single storey, or (iii) have a width greater than half the width of the original dwellinghouse</w:t>
      </w:r>
      <w:r>
        <w:rPr>
          <w:b/>
          <w:color w:val="000000"/>
          <w:sz w:val="22"/>
          <w:szCs w:val="22"/>
        </w:rPr>
        <w:t xml:space="preserve"> </w:t>
      </w:r>
      <w:r w:rsidR="00DE0AB8">
        <w:rPr>
          <w:b/>
          <w:color w:val="000000"/>
          <w:sz w:val="22"/>
          <w:szCs w:val="22"/>
        </w:rPr>
        <w:t>N/A</w:t>
      </w:r>
    </w:p>
    <w:p w:rsidR="00FC0CCB" w:rsidRDefault="00FC0CCB" w:rsidP="00FC0CCB">
      <w:pPr>
        <w:spacing w:after="200"/>
        <w:ind w:left="720"/>
        <w:jc w:val="both"/>
        <w:rPr>
          <w:b/>
          <w:color w:val="000000"/>
          <w:sz w:val="22"/>
          <w:szCs w:val="22"/>
        </w:rPr>
      </w:pPr>
      <w:r>
        <w:rPr>
          <w:color w:val="000000"/>
          <w:sz w:val="22"/>
          <w:szCs w:val="22"/>
        </w:rPr>
        <w:t>A.1 (k) it would consist of or include – (i) the construction or provision of a verandah, balcony or raised platform</w:t>
      </w:r>
      <w:r>
        <w:rPr>
          <w:b/>
          <w:color w:val="000000"/>
          <w:sz w:val="22"/>
          <w:szCs w:val="22"/>
        </w:rPr>
        <w:t xml:space="preserve"> </w:t>
      </w:r>
      <w:r>
        <w:rPr>
          <w:color w:val="000000"/>
          <w:sz w:val="22"/>
          <w:szCs w:val="22"/>
        </w:rPr>
        <w:t>(ii) the installation, alteration or replacement of a microwave antenna, (iii) the installation, alteration or replacement of a chimney, flue or soil and vent pipe, or (iv) an alteration to any part of the roof of the dwellinghouse</w:t>
      </w:r>
      <w:r w:rsidR="0077757D">
        <w:rPr>
          <w:color w:val="000000"/>
          <w:sz w:val="22"/>
          <w:szCs w:val="22"/>
        </w:rPr>
        <w:t xml:space="preserve"> </w:t>
      </w:r>
      <w:r w:rsidR="0077757D">
        <w:rPr>
          <w:b/>
          <w:color w:val="000000"/>
          <w:sz w:val="22"/>
          <w:szCs w:val="22"/>
        </w:rPr>
        <w:t>N/A</w:t>
      </w:r>
      <w:r>
        <w:rPr>
          <w:color w:val="000000"/>
          <w:sz w:val="22"/>
          <w:szCs w:val="22"/>
        </w:rPr>
        <w:t xml:space="preserve"> </w:t>
      </w:r>
    </w:p>
    <w:p w:rsidR="006F1C0D" w:rsidRDefault="00FC0CCB" w:rsidP="006F1C0D">
      <w:pPr>
        <w:spacing w:after="200"/>
        <w:ind w:left="720"/>
        <w:jc w:val="both"/>
        <w:rPr>
          <w:color w:val="000000"/>
          <w:sz w:val="22"/>
        </w:rPr>
      </w:pPr>
      <w:r>
        <w:rPr>
          <w:color w:val="000000"/>
          <w:sz w:val="22"/>
        </w:rPr>
        <w:t>A.2 In the case of a dwellinghouse on article 2(3) land, development is not permitted by Class A if:</w:t>
      </w:r>
      <w:r w:rsidR="00907E82">
        <w:rPr>
          <w:color w:val="000000"/>
          <w:sz w:val="22"/>
        </w:rPr>
        <w:t xml:space="preserve"> N/A</w:t>
      </w:r>
    </w:p>
    <w:p w:rsidR="00907E82" w:rsidRDefault="00907E82" w:rsidP="006E2296">
      <w:pPr>
        <w:pStyle w:val="ListParagraph"/>
        <w:overflowPunct/>
        <w:autoSpaceDE/>
        <w:autoSpaceDN/>
        <w:adjustRightInd/>
        <w:contextualSpacing/>
        <w:jc w:val="both"/>
        <w:textAlignment w:val="auto"/>
        <w:rPr>
          <w:b/>
          <w:color w:val="000000"/>
          <w:sz w:val="22"/>
          <w:szCs w:val="22"/>
          <w:u w:val="single"/>
        </w:rPr>
      </w:pPr>
    </w:p>
    <w:p w:rsidR="00FC0CCB" w:rsidRPr="006E2296" w:rsidRDefault="00FC0CCB" w:rsidP="006E2296">
      <w:pPr>
        <w:pStyle w:val="ListParagraph"/>
        <w:overflowPunct/>
        <w:autoSpaceDE/>
        <w:autoSpaceDN/>
        <w:adjustRightInd/>
        <w:contextualSpacing/>
        <w:jc w:val="both"/>
        <w:textAlignment w:val="auto"/>
        <w:rPr>
          <w:b/>
          <w:color w:val="000000"/>
          <w:sz w:val="22"/>
          <w:szCs w:val="22"/>
          <w:u w:val="single"/>
        </w:rPr>
      </w:pPr>
      <w:r w:rsidRPr="006E2296">
        <w:rPr>
          <w:b/>
          <w:color w:val="000000"/>
          <w:sz w:val="22"/>
          <w:szCs w:val="22"/>
          <w:u w:val="single"/>
        </w:rPr>
        <w:t>CONDITIONS</w:t>
      </w:r>
    </w:p>
    <w:p w:rsidR="00FC0CCB" w:rsidRDefault="00FC0CCB" w:rsidP="00FC0CCB">
      <w:pPr>
        <w:ind w:left="720"/>
        <w:jc w:val="both"/>
        <w:rPr>
          <w:color w:val="000000"/>
          <w:sz w:val="22"/>
          <w:szCs w:val="22"/>
        </w:rPr>
      </w:pPr>
      <w:r>
        <w:rPr>
          <w:color w:val="000000"/>
          <w:sz w:val="22"/>
          <w:szCs w:val="22"/>
        </w:rPr>
        <w:t>Development is permitted by Class A subject to the following conditions:</w:t>
      </w:r>
    </w:p>
    <w:p w:rsidR="00FC0CCB" w:rsidRDefault="00FC0CCB" w:rsidP="00FC0CCB">
      <w:pPr>
        <w:ind w:left="720"/>
        <w:jc w:val="both"/>
        <w:rPr>
          <w:color w:val="000000"/>
          <w:sz w:val="22"/>
          <w:szCs w:val="22"/>
        </w:rPr>
      </w:pPr>
    </w:p>
    <w:p w:rsidR="005344FD" w:rsidRDefault="00FC0CCB" w:rsidP="005344FD">
      <w:pPr>
        <w:spacing w:after="200"/>
        <w:ind w:left="720"/>
        <w:jc w:val="both"/>
        <w:rPr>
          <w:b/>
          <w:color w:val="000000"/>
          <w:sz w:val="22"/>
          <w:szCs w:val="22"/>
        </w:rPr>
      </w:pPr>
      <w:r>
        <w:rPr>
          <w:color w:val="000000"/>
          <w:sz w:val="22"/>
          <w:szCs w:val="22"/>
        </w:rPr>
        <w:t>A.3 (a) the materials used in any exterior work (other than materials used in the construction of a conservatory) must be of a similar appearance to those used in the construction of the exterior of the dwellinghouse</w:t>
      </w:r>
      <w:r w:rsidR="005344FD">
        <w:rPr>
          <w:color w:val="000000"/>
          <w:sz w:val="22"/>
          <w:szCs w:val="22"/>
        </w:rPr>
        <w:t xml:space="preserve"> </w:t>
      </w:r>
      <w:r w:rsidR="005344FD" w:rsidRPr="00DE0AB8">
        <w:rPr>
          <w:b/>
          <w:color w:val="000000"/>
          <w:sz w:val="22"/>
          <w:szCs w:val="22"/>
        </w:rPr>
        <w:t>Complies</w:t>
      </w:r>
      <w:r w:rsidR="005344FD">
        <w:rPr>
          <w:b/>
          <w:color w:val="000000"/>
          <w:sz w:val="22"/>
          <w:szCs w:val="22"/>
        </w:rPr>
        <w:t xml:space="preserve"> as per email sent by agent 17</w:t>
      </w:r>
      <w:r w:rsidR="005344FD" w:rsidRPr="005344FD">
        <w:rPr>
          <w:b/>
          <w:color w:val="000000"/>
          <w:sz w:val="22"/>
          <w:szCs w:val="22"/>
          <w:vertAlign w:val="superscript"/>
        </w:rPr>
        <w:t>th</w:t>
      </w:r>
      <w:r w:rsidR="005344FD">
        <w:rPr>
          <w:b/>
          <w:color w:val="000000"/>
          <w:sz w:val="22"/>
          <w:szCs w:val="22"/>
        </w:rPr>
        <w:t xml:space="preserve"> May 2022</w:t>
      </w:r>
    </w:p>
    <w:p w:rsidR="00FC0CCB" w:rsidRDefault="00FC0CCB" w:rsidP="006E2296">
      <w:pPr>
        <w:ind w:left="720"/>
        <w:jc w:val="both"/>
        <w:rPr>
          <w:b/>
          <w:color w:val="000000"/>
          <w:sz w:val="22"/>
          <w:szCs w:val="22"/>
        </w:rPr>
      </w:pPr>
      <w:r>
        <w:rPr>
          <w:color w:val="000000"/>
          <w:sz w:val="22"/>
          <w:szCs w:val="22"/>
        </w:rPr>
        <w:t xml:space="preserve">A.3 (b) any upper-floor window located in a wall or roof slope forming a side elevation of the dwellinghouse must be (i) obscure-glazed, and (ii) non-opening unless the parts of the window which can be opened are more than 1.7 metres above the floor of the room in which the window is installed </w:t>
      </w:r>
      <w:r w:rsidR="005344FD">
        <w:rPr>
          <w:color w:val="000000"/>
          <w:sz w:val="22"/>
          <w:szCs w:val="22"/>
        </w:rPr>
        <w:t xml:space="preserve"> </w:t>
      </w:r>
      <w:r w:rsidR="005344FD" w:rsidRPr="005344FD">
        <w:rPr>
          <w:b/>
          <w:color w:val="000000"/>
          <w:sz w:val="22"/>
          <w:szCs w:val="22"/>
        </w:rPr>
        <w:t>N/A</w:t>
      </w:r>
    </w:p>
    <w:p w:rsidR="00FC0CCB" w:rsidRDefault="00FC0CCB" w:rsidP="00FC0CCB">
      <w:pPr>
        <w:ind w:left="720"/>
        <w:jc w:val="both"/>
        <w:rPr>
          <w:color w:val="000000"/>
          <w:sz w:val="22"/>
          <w:szCs w:val="22"/>
        </w:rPr>
      </w:pPr>
    </w:p>
    <w:p w:rsidR="00FC0CCB" w:rsidRDefault="00FC0CCB" w:rsidP="00FC0CCB">
      <w:pPr>
        <w:ind w:left="720"/>
        <w:jc w:val="both"/>
        <w:rPr>
          <w:color w:val="000000"/>
          <w:sz w:val="22"/>
          <w:szCs w:val="22"/>
        </w:rPr>
      </w:pPr>
      <w:r>
        <w:rPr>
          <w:color w:val="000000"/>
          <w:sz w:val="22"/>
          <w:szCs w:val="22"/>
        </w:rPr>
        <w:t xml:space="preserve">A.3 (c) where the enlarged part of the dwellinghouse has more than a single storey, or forms an upper storey on an existing enlargement of the original dwellinghouse, the roof </w:t>
      </w:r>
      <w:r>
        <w:rPr>
          <w:color w:val="000000"/>
          <w:sz w:val="22"/>
          <w:szCs w:val="22"/>
        </w:rPr>
        <w:lastRenderedPageBreak/>
        <w:t>pitch of the enlarged part must, so far as practicable, be the same as the roof pitch of the original dwellinghouse</w:t>
      </w:r>
      <w:r w:rsidR="005344FD" w:rsidRPr="005344FD">
        <w:rPr>
          <w:color w:val="000000"/>
          <w:sz w:val="22"/>
          <w:szCs w:val="22"/>
        </w:rPr>
        <w:t xml:space="preserve"> </w:t>
      </w:r>
      <w:r w:rsidR="005344FD">
        <w:rPr>
          <w:color w:val="000000"/>
          <w:sz w:val="22"/>
          <w:szCs w:val="22"/>
        </w:rPr>
        <w:t xml:space="preserve"> </w:t>
      </w:r>
      <w:r w:rsidR="005344FD" w:rsidRPr="005344FD">
        <w:rPr>
          <w:b/>
          <w:color w:val="000000"/>
          <w:sz w:val="22"/>
          <w:szCs w:val="22"/>
        </w:rPr>
        <w:t>N/A</w:t>
      </w:r>
    </w:p>
    <w:p w:rsidR="00FC0CCB" w:rsidRDefault="00FC0CCB" w:rsidP="00FC0CCB">
      <w:pPr>
        <w:jc w:val="both"/>
        <w:rPr>
          <w:b/>
          <w:color w:val="000000"/>
          <w:sz w:val="22"/>
          <w:szCs w:val="22"/>
        </w:rPr>
      </w:pPr>
    </w:p>
    <w:p w:rsidR="00FC0CCB" w:rsidRPr="006F1C0D" w:rsidRDefault="00FC0CCB" w:rsidP="006F1C0D">
      <w:pPr>
        <w:pStyle w:val="ListParagraph"/>
        <w:overflowPunct/>
        <w:autoSpaceDE/>
        <w:autoSpaceDN/>
        <w:adjustRightInd/>
        <w:contextualSpacing/>
        <w:jc w:val="both"/>
        <w:textAlignment w:val="auto"/>
        <w:rPr>
          <w:color w:val="000000"/>
          <w:sz w:val="22"/>
          <w:u w:val="single"/>
        </w:rPr>
      </w:pPr>
      <w:r w:rsidRPr="006F1C0D">
        <w:rPr>
          <w:b/>
          <w:color w:val="000000"/>
          <w:sz w:val="22"/>
          <w:u w:val="single"/>
        </w:rPr>
        <w:t>CONCLUSION</w:t>
      </w:r>
    </w:p>
    <w:p w:rsidR="00FC0CCB" w:rsidRPr="00EC279B" w:rsidRDefault="00FC0CCB" w:rsidP="00FC0CCB">
      <w:pPr>
        <w:ind w:left="720"/>
        <w:jc w:val="both"/>
        <w:rPr>
          <w:rFonts w:cs="Arial"/>
          <w:sz w:val="22"/>
          <w:szCs w:val="22"/>
        </w:rPr>
      </w:pPr>
      <w:r w:rsidRPr="007148FE">
        <w:rPr>
          <w:color w:val="000000"/>
          <w:sz w:val="22"/>
        </w:rPr>
        <w:t xml:space="preserve">Sufficient evidence has been provided to demonstrate that a Certificate of Lawfulness should be granted for the </w:t>
      </w:r>
      <w:r w:rsidRPr="007148FE">
        <w:rPr>
          <w:rFonts w:cs="Arial"/>
          <w:sz w:val="22"/>
          <w:szCs w:val="22"/>
        </w:rPr>
        <w:t xml:space="preserve">proposal to </w:t>
      </w:r>
      <w:r w:rsidRPr="000C7A2F">
        <w:rPr>
          <w:rFonts w:cs="Arial"/>
          <w:sz w:val="22"/>
          <w:szCs w:val="22"/>
        </w:rPr>
        <w:t>build a</w:t>
      </w:r>
      <w:r w:rsidR="005344FD">
        <w:rPr>
          <w:rFonts w:cs="Arial"/>
          <w:sz w:val="22"/>
          <w:szCs w:val="22"/>
        </w:rPr>
        <w:t>n extension</w:t>
      </w:r>
      <w:r w:rsidR="001469EC">
        <w:rPr>
          <w:rFonts w:cs="Arial"/>
          <w:sz w:val="22"/>
          <w:szCs w:val="22"/>
        </w:rPr>
        <w:t xml:space="preserve">, 2.996 metres to the rear and </w:t>
      </w:r>
      <w:r w:rsidR="005344FD">
        <w:rPr>
          <w:rFonts w:cs="Arial"/>
          <w:sz w:val="22"/>
          <w:szCs w:val="22"/>
        </w:rPr>
        <w:t>2.6 metres in height</w:t>
      </w:r>
      <w:r>
        <w:rPr>
          <w:sz w:val="22"/>
          <w:szCs w:val="22"/>
        </w:rPr>
        <w:t xml:space="preserve">. </w:t>
      </w:r>
    </w:p>
    <w:p w:rsidR="00FC0CCB" w:rsidRDefault="00FC0CCB" w:rsidP="00FC0CCB">
      <w:pPr>
        <w:ind w:left="720"/>
        <w:jc w:val="both"/>
        <w:rPr>
          <w:sz w:val="22"/>
        </w:rPr>
      </w:pPr>
    </w:p>
    <w:p w:rsidR="00FC0CCB" w:rsidRDefault="00FC0CCB" w:rsidP="006F1C0D">
      <w:pPr>
        <w:spacing w:after="200"/>
        <w:ind w:left="709"/>
        <w:jc w:val="both"/>
        <w:rPr>
          <w:sz w:val="22"/>
        </w:rPr>
      </w:pPr>
      <w:r>
        <w:rPr>
          <w:sz w:val="22"/>
        </w:rPr>
        <w:t xml:space="preserve">The proposal has been assessed against the Town and Country Planning Act 1990 (as amended) and Class A, Part 1, Schedule 2 of the Town and Country Planning (General Permitted Development) (England) Order 2015 (as amended) and it has been confirmed that the proposal would be lawful for planning purposes on the basis of the following drawings and information: </w:t>
      </w:r>
    </w:p>
    <w:p w:rsidR="005344FD" w:rsidRPr="005344FD" w:rsidRDefault="00FC0CCB" w:rsidP="005344FD">
      <w:pPr>
        <w:ind w:left="709" w:firstLine="11"/>
        <w:jc w:val="both"/>
        <w:rPr>
          <w:rFonts w:cs="Calibri"/>
          <w:color w:val="000000"/>
          <w:sz w:val="22"/>
          <w:szCs w:val="22"/>
        </w:rPr>
      </w:pPr>
      <w:r w:rsidRPr="00E67E64">
        <w:rPr>
          <w:rFonts w:cs="Arial"/>
          <w:sz w:val="22"/>
          <w:szCs w:val="22"/>
        </w:rPr>
        <w:t>Drawing</w:t>
      </w:r>
      <w:r w:rsidR="005344FD">
        <w:rPr>
          <w:rFonts w:cs="Arial"/>
          <w:sz w:val="22"/>
          <w:szCs w:val="22"/>
        </w:rPr>
        <w:t xml:space="preserve"> No </w:t>
      </w:r>
      <w:r w:rsidR="005344FD">
        <w:rPr>
          <w:color w:val="000000"/>
          <w:sz w:val="22"/>
          <w:szCs w:val="22"/>
        </w:rPr>
        <w:t xml:space="preserve">21005.S.PP-32 Proposed Ground Floor Plan </w:t>
      </w:r>
      <w:r w:rsidR="005344FD" w:rsidRPr="00FC0CCB">
        <w:rPr>
          <w:rFonts w:cs="Calibri"/>
          <w:color w:val="000000"/>
          <w:sz w:val="22"/>
          <w:szCs w:val="22"/>
        </w:rPr>
        <w:t xml:space="preserve">received </w:t>
      </w:r>
      <w:r w:rsidR="005344FD">
        <w:rPr>
          <w:rFonts w:cs="Calibri"/>
          <w:color w:val="000000"/>
          <w:sz w:val="22"/>
          <w:szCs w:val="22"/>
        </w:rPr>
        <w:t>16</w:t>
      </w:r>
      <w:r w:rsidR="005344FD" w:rsidRPr="005344FD">
        <w:rPr>
          <w:rFonts w:cs="Calibri"/>
          <w:color w:val="000000"/>
          <w:sz w:val="22"/>
          <w:szCs w:val="22"/>
          <w:vertAlign w:val="superscript"/>
        </w:rPr>
        <w:t>th</w:t>
      </w:r>
      <w:r w:rsidR="005344FD">
        <w:rPr>
          <w:rFonts w:cs="Calibri"/>
          <w:color w:val="000000"/>
          <w:sz w:val="22"/>
          <w:szCs w:val="22"/>
        </w:rPr>
        <w:t xml:space="preserve"> February 2022</w:t>
      </w:r>
    </w:p>
    <w:p w:rsidR="005344FD" w:rsidRDefault="005344FD" w:rsidP="005344FD">
      <w:pPr>
        <w:ind w:left="1440" w:hanging="720"/>
        <w:jc w:val="both"/>
        <w:rPr>
          <w:color w:val="000000"/>
          <w:sz w:val="22"/>
          <w:szCs w:val="22"/>
        </w:rPr>
      </w:pPr>
      <w:r w:rsidRPr="00E67E64">
        <w:rPr>
          <w:rFonts w:cs="Arial"/>
          <w:sz w:val="22"/>
          <w:szCs w:val="22"/>
        </w:rPr>
        <w:t>Drawing</w:t>
      </w:r>
      <w:r>
        <w:rPr>
          <w:rFonts w:cs="Arial"/>
          <w:sz w:val="22"/>
          <w:szCs w:val="22"/>
        </w:rPr>
        <w:t xml:space="preserve"> No </w:t>
      </w:r>
      <w:r>
        <w:rPr>
          <w:color w:val="000000"/>
          <w:sz w:val="22"/>
          <w:szCs w:val="22"/>
        </w:rPr>
        <w:t>21005.S.PP-33 Proposed Elevations</w:t>
      </w:r>
      <w:r w:rsidRPr="005344FD">
        <w:rPr>
          <w:rFonts w:cs="Calibri"/>
          <w:color w:val="000000"/>
          <w:sz w:val="22"/>
          <w:szCs w:val="22"/>
        </w:rPr>
        <w:t xml:space="preserve"> </w:t>
      </w:r>
      <w:r w:rsidRPr="00FC0CCB">
        <w:rPr>
          <w:rFonts w:cs="Calibri"/>
          <w:color w:val="000000"/>
          <w:sz w:val="22"/>
          <w:szCs w:val="22"/>
        </w:rPr>
        <w:t xml:space="preserve">received </w:t>
      </w:r>
      <w:r>
        <w:rPr>
          <w:rFonts w:cs="Calibri"/>
          <w:color w:val="000000"/>
          <w:sz w:val="22"/>
          <w:szCs w:val="22"/>
        </w:rPr>
        <w:t>16</w:t>
      </w:r>
      <w:r w:rsidRPr="005344FD">
        <w:rPr>
          <w:rFonts w:cs="Calibri"/>
          <w:color w:val="000000"/>
          <w:sz w:val="22"/>
          <w:szCs w:val="22"/>
          <w:vertAlign w:val="superscript"/>
        </w:rPr>
        <w:t>th</w:t>
      </w:r>
      <w:r>
        <w:rPr>
          <w:rFonts w:cs="Calibri"/>
          <w:color w:val="000000"/>
          <w:sz w:val="22"/>
          <w:szCs w:val="22"/>
        </w:rPr>
        <w:t xml:space="preserve"> February 2022</w:t>
      </w:r>
    </w:p>
    <w:p w:rsidR="005344FD" w:rsidRDefault="005344FD" w:rsidP="005344FD">
      <w:pPr>
        <w:ind w:left="1440" w:hanging="720"/>
        <w:jc w:val="both"/>
        <w:rPr>
          <w:rFonts w:cs="Calibri"/>
          <w:color w:val="000000"/>
          <w:sz w:val="22"/>
          <w:szCs w:val="22"/>
        </w:rPr>
      </w:pPr>
      <w:r w:rsidRPr="00E67E64">
        <w:rPr>
          <w:rFonts w:cs="Arial"/>
          <w:sz w:val="22"/>
          <w:szCs w:val="22"/>
        </w:rPr>
        <w:t>Drawing</w:t>
      </w:r>
      <w:r>
        <w:rPr>
          <w:rFonts w:cs="Arial"/>
          <w:sz w:val="22"/>
          <w:szCs w:val="22"/>
        </w:rPr>
        <w:t xml:space="preserve"> No </w:t>
      </w:r>
      <w:r>
        <w:rPr>
          <w:color w:val="000000"/>
          <w:sz w:val="22"/>
          <w:szCs w:val="22"/>
        </w:rPr>
        <w:t xml:space="preserve">21005.S.PP-35 Block Plan </w:t>
      </w:r>
      <w:r w:rsidRPr="00FC0CCB">
        <w:rPr>
          <w:rFonts w:cs="Calibri"/>
          <w:color w:val="000000"/>
          <w:sz w:val="22"/>
          <w:szCs w:val="22"/>
        </w:rPr>
        <w:t xml:space="preserve">received </w:t>
      </w:r>
      <w:r>
        <w:rPr>
          <w:rFonts w:cs="Calibri"/>
          <w:color w:val="000000"/>
          <w:sz w:val="22"/>
          <w:szCs w:val="22"/>
        </w:rPr>
        <w:t>16</w:t>
      </w:r>
      <w:r w:rsidRPr="005344FD">
        <w:rPr>
          <w:rFonts w:cs="Calibri"/>
          <w:color w:val="000000"/>
          <w:sz w:val="22"/>
          <w:szCs w:val="22"/>
          <w:vertAlign w:val="superscript"/>
        </w:rPr>
        <w:t>th</w:t>
      </w:r>
      <w:r>
        <w:rPr>
          <w:rFonts w:cs="Calibri"/>
          <w:color w:val="000000"/>
          <w:sz w:val="22"/>
          <w:szCs w:val="22"/>
        </w:rPr>
        <w:t xml:space="preserve"> February 2022</w:t>
      </w:r>
    </w:p>
    <w:p w:rsidR="005344FD" w:rsidRDefault="006F1C0D" w:rsidP="00DE4768">
      <w:pPr>
        <w:ind w:left="720"/>
        <w:jc w:val="both"/>
        <w:rPr>
          <w:rFonts w:cs="Arial"/>
          <w:sz w:val="22"/>
          <w:szCs w:val="22"/>
        </w:rPr>
      </w:pPr>
      <w:r>
        <w:rPr>
          <w:rFonts w:cs="Arial"/>
          <w:sz w:val="22"/>
          <w:szCs w:val="22"/>
        </w:rPr>
        <w:t>and e</w:t>
      </w:r>
      <w:r w:rsidR="005344FD">
        <w:rPr>
          <w:rFonts w:cs="Arial"/>
          <w:sz w:val="22"/>
          <w:szCs w:val="22"/>
        </w:rPr>
        <w:t>mail</w:t>
      </w:r>
      <w:r w:rsidR="007E13F9">
        <w:rPr>
          <w:rFonts w:cs="Arial"/>
          <w:sz w:val="22"/>
          <w:szCs w:val="22"/>
        </w:rPr>
        <w:t>s</w:t>
      </w:r>
      <w:r w:rsidR="005344FD">
        <w:rPr>
          <w:rFonts w:cs="Arial"/>
          <w:sz w:val="22"/>
          <w:szCs w:val="22"/>
        </w:rPr>
        <w:t xml:space="preserve"> received from Agent 17</w:t>
      </w:r>
      <w:r w:rsidR="005344FD" w:rsidRPr="005344FD">
        <w:rPr>
          <w:rFonts w:cs="Arial"/>
          <w:sz w:val="22"/>
          <w:szCs w:val="22"/>
          <w:vertAlign w:val="superscript"/>
        </w:rPr>
        <w:t>th</w:t>
      </w:r>
      <w:r w:rsidR="005344FD">
        <w:rPr>
          <w:rFonts w:cs="Arial"/>
          <w:sz w:val="22"/>
          <w:szCs w:val="22"/>
        </w:rPr>
        <w:t xml:space="preserve"> May 2022</w:t>
      </w:r>
      <w:r w:rsidR="007E13F9">
        <w:rPr>
          <w:rFonts w:cs="Arial"/>
          <w:sz w:val="22"/>
          <w:szCs w:val="22"/>
        </w:rPr>
        <w:t xml:space="preserve"> and 22</w:t>
      </w:r>
      <w:r w:rsidR="007E13F9" w:rsidRPr="007E13F9">
        <w:rPr>
          <w:rFonts w:cs="Arial"/>
          <w:sz w:val="22"/>
          <w:szCs w:val="22"/>
          <w:vertAlign w:val="superscript"/>
        </w:rPr>
        <w:t>nd</w:t>
      </w:r>
      <w:r w:rsidR="007E13F9">
        <w:rPr>
          <w:rFonts w:cs="Arial"/>
          <w:sz w:val="22"/>
          <w:szCs w:val="22"/>
        </w:rPr>
        <w:t xml:space="preserve"> June 2022</w:t>
      </w:r>
    </w:p>
    <w:p w:rsidR="00A62D45" w:rsidRDefault="00A62D45" w:rsidP="00DE4768">
      <w:pPr>
        <w:overflowPunct/>
        <w:autoSpaceDE/>
        <w:autoSpaceDN/>
        <w:adjustRightInd/>
        <w:ind w:left="720"/>
        <w:jc w:val="both"/>
        <w:textAlignment w:val="auto"/>
        <w:rPr>
          <w:b/>
          <w:sz w:val="22"/>
          <w:szCs w:val="22"/>
          <w:lang w:eastAsia="en-GB"/>
        </w:rPr>
      </w:pPr>
    </w:p>
    <w:p w:rsidR="00DE4768" w:rsidRPr="00A62D45" w:rsidRDefault="006F1C0D" w:rsidP="00DE4768">
      <w:pPr>
        <w:overflowPunct/>
        <w:autoSpaceDE/>
        <w:autoSpaceDN/>
        <w:adjustRightInd/>
        <w:ind w:left="720"/>
        <w:jc w:val="both"/>
        <w:textAlignment w:val="auto"/>
        <w:rPr>
          <w:sz w:val="22"/>
          <w:szCs w:val="22"/>
        </w:rPr>
      </w:pPr>
      <w:r w:rsidRPr="00A62D45">
        <w:rPr>
          <w:b/>
          <w:sz w:val="22"/>
          <w:szCs w:val="22"/>
          <w:lang w:eastAsia="en-GB"/>
        </w:rPr>
        <w:t>Informatives</w:t>
      </w:r>
    </w:p>
    <w:p w:rsidR="00DE4768" w:rsidRPr="00A62D45" w:rsidRDefault="006F1C0D" w:rsidP="00DE4768">
      <w:pPr>
        <w:overflowPunct/>
        <w:autoSpaceDE/>
        <w:autoSpaceDN/>
        <w:adjustRightInd/>
        <w:ind w:left="720"/>
        <w:jc w:val="both"/>
        <w:textAlignment w:val="auto"/>
        <w:rPr>
          <w:sz w:val="22"/>
          <w:szCs w:val="22"/>
        </w:rPr>
      </w:pPr>
      <w:r w:rsidRPr="00A62D45">
        <w:rPr>
          <w:sz w:val="22"/>
          <w:szCs w:val="22"/>
          <w:lang w:eastAsia="en-GB"/>
        </w:rPr>
        <w:t>Building Regulations</w:t>
      </w:r>
    </w:p>
    <w:p w:rsidR="006F1C0D" w:rsidRPr="00A62D45" w:rsidRDefault="006F1C0D" w:rsidP="00DE4768">
      <w:pPr>
        <w:overflowPunct/>
        <w:autoSpaceDE/>
        <w:autoSpaceDN/>
        <w:adjustRightInd/>
        <w:ind w:left="720"/>
        <w:jc w:val="both"/>
        <w:textAlignment w:val="auto"/>
        <w:rPr>
          <w:sz w:val="22"/>
          <w:szCs w:val="22"/>
        </w:rPr>
      </w:pPr>
      <w:r w:rsidRPr="00A62D45">
        <w:rPr>
          <w:sz w:val="22"/>
          <w:szCs w:val="22"/>
          <w:lang w:eastAsia="en-GB"/>
        </w:rPr>
        <w:t>Construction and Demolition</w:t>
      </w:r>
    </w:p>
    <w:p w:rsidR="006F1C0D" w:rsidRPr="00A62D45" w:rsidRDefault="006F1C0D" w:rsidP="00DE4768">
      <w:pPr>
        <w:overflowPunct/>
        <w:autoSpaceDE/>
        <w:autoSpaceDN/>
        <w:adjustRightInd/>
        <w:ind w:left="720"/>
        <w:jc w:val="both"/>
        <w:textAlignment w:val="auto"/>
        <w:rPr>
          <w:sz w:val="22"/>
          <w:szCs w:val="22"/>
        </w:rPr>
      </w:pPr>
      <w:r w:rsidRPr="00A62D45">
        <w:rPr>
          <w:sz w:val="22"/>
          <w:szCs w:val="22"/>
          <w:lang w:eastAsia="en-GB"/>
        </w:rPr>
        <w:t>Encroachment and Party Wall Act</w:t>
      </w:r>
    </w:p>
    <w:p w:rsidR="006F1C0D" w:rsidRPr="00FC0CCB" w:rsidRDefault="006F1C0D" w:rsidP="00DE4768">
      <w:pPr>
        <w:ind w:left="1440" w:hanging="720"/>
        <w:jc w:val="both"/>
        <w:rPr>
          <w:color w:val="000000"/>
          <w:sz w:val="22"/>
          <w:szCs w:val="22"/>
        </w:rPr>
      </w:pPr>
    </w:p>
    <w:p w:rsidR="00FC0CCB" w:rsidRPr="00FC0CCB" w:rsidRDefault="00FC0CCB" w:rsidP="00DE4768">
      <w:pPr>
        <w:pStyle w:val="ListParagraph"/>
        <w:contextualSpacing/>
        <w:jc w:val="both"/>
        <w:textAlignment w:val="auto"/>
        <w:rPr>
          <w:color w:val="000000"/>
          <w:sz w:val="22"/>
          <w:szCs w:val="22"/>
        </w:rPr>
      </w:pPr>
      <w:r>
        <w:rPr>
          <w:b/>
          <w:sz w:val="22"/>
          <w:szCs w:val="22"/>
        </w:rPr>
        <w:t>REC</w:t>
      </w:r>
      <w:r w:rsidRPr="00F04C1C">
        <w:rPr>
          <w:b/>
          <w:sz w:val="22"/>
          <w:szCs w:val="22"/>
        </w:rPr>
        <w:t>O</w:t>
      </w:r>
      <w:r>
        <w:rPr>
          <w:b/>
          <w:sz w:val="22"/>
          <w:szCs w:val="22"/>
        </w:rPr>
        <w:t>M</w:t>
      </w:r>
      <w:r w:rsidRPr="00F04C1C">
        <w:rPr>
          <w:b/>
          <w:sz w:val="22"/>
          <w:szCs w:val="22"/>
        </w:rPr>
        <w:t>MENDATION:</w:t>
      </w:r>
      <w:r w:rsidRPr="00F04C1C">
        <w:rPr>
          <w:sz w:val="22"/>
          <w:szCs w:val="22"/>
        </w:rPr>
        <w:t xml:space="preserve"> GRANT CERTIFICATE </w:t>
      </w:r>
    </w:p>
    <w:p w:rsidR="00FC0CCB" w:rsidRDefault="00FC0CCB" w:rsidP="00FC0CCB">
      <w:pPr>
        <w:pStyle w:val="ListParagraph"/>
        <w:jc w:val="both"/>
        <w:rPr>
          <w:b/>
          <w:sz w:val="22"/>
          <w:szCs w:val="22"/>
        </w:rPr>
      </w:pPr>
    </w:p>
    <w:p w:rsidR="00FC0CCB" w:rsidRDefault="00FC0CCB" w:rsidP="00FC0CCB">
      <w:pPr>
        <w:pStyle w:val="ListParagraph"/>
        <w:jc w:val="both"/>
        <w:rPr>
          <w:b/>
          <w:sz w:val="22"/>
          <w:szCs w:val="22"/>
        </w:rPr>
      </w:pPr>
    </w:p>
    <w:p w:rsidR="00DE4768" w:rsidRDefault="00102627" w:rsidP="00DE4768">
      <w:pPr>
        <w:pStyle w:val="ListParagraph"/>
        <w:ind w:left="0"/>
        <w:jc w:val="center"/>
        <w:rPr>
          <w:color w:val="000000"/>
          <w:sz w:val="22"/>
          <w:szCs w:val="22"/>
        </w:rPr>
      </w:pPr>
      <w:r w:rsidRPr="0077757D">
        <w:rPr>
          <w:noProof/>
          <w:color w:val="000000"/>
          <w:sz w:val="22"/>
          <w:szCs w:val="22"/>
          <w:lang w:eastAsia="en-GB"/>
        </w:rPr>
        <w:drawing>
          <wp:inline distT="0" distB="0" distL="0" distR="0">
            <wp:extent cx="3204845" cy="296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4845" cy="2961005"/>
                    </a:xfrm>
                    <a:prstGeom prst="rect">
                      <a:avLst/>
                    </a:prstGeom>
                    <a:noFill/>
                    <a:ln>
                      <a:noFill/>
                    </a:ln>
                  </pic:spPr>
                </pic:pic>
              </a:graphicData>
            </a:graphic>
          </wp:inline>
        </w:drawing>
      </w:r>
    </w:p>
    <w:p w:rsidR="00DE4768" w:rsidRDefault="00DE4768" w:rsidP="00DE4768">
      <w:pPr>
        <w:pStyle w:val="ListParagraph"/>
        <w:ind w:left="0"/>
        <w:jc w:val="center"/>
        <w:rPr>
          <w:color w:val="000000"/>
          <w:sz w:val="22"/>
          <w:szCs w:val="22"/>
        </w:rPr>
      </w:pPr>
    </w:p>
    <w:p w:rsidR="00DE4768" w:rsidRDefault="00DE4768" w:rsidP="00DE4768">
      <w:pPr>
        <w:pStyle w:val="ListParagraph"/>
        <w:ind w:left="0"/>
        <w:jc w:val="center"/>
        <w:rPr>
          <w:color w:val="000000"/>
          <w:sz w:val="22"/>
          <w:szCs w:val="22"/>
        </w:rPr>
      </w:pPr>
    </w:p>
    <w:p w:rsidR="00DE4768" w:rsidRDefault="00DE4768" w:rsidP="00DE4768">
      <w:pPr>
        <w:pStyle w:val="ListParagraph"/>
        <w:ind w:left="0"/>
        <w:jc w:val="center"/>
        <w:rPr>
          <w:color w:val="000000"/>
          <w:sz w:val="22"/>
          <w:szCs w:val="22"/>
        </w:rPr>
      </w:pPr>
    </w:p>
    <w:p w:rsidR="00DE4768" w:rsidRDefault="00DE4768" w:rsidP="00DE4768">
      <w:pPr>
        <w:pStyle w:val="ListParagraph"/>
        <w:ind w:left="0"/>
        <w:jc w:val="center"/>
        <w:rPr>
          <w:color w:val="000000"/>
          <w:sz w:val="22"/>
          <w:szCs w:val="22"/>
        </w:rPr>
      </w:pPr>
    </w:p>
    <w:p w:rsidR="00DE4768" w:rsidRDefault="00DE4768" w:rsidP="00DE4768">
      <w:pPr>
        <w:pStyle w:val="ListParagraph"/>
        <w:ind w:left="0"/>
        <w:jc w:val="center"/>
        <w:rPr>
          <w:color w:val="000000"/>
          <w:sz w:val="22"/>
          <w:szCs w:val="22"/>
        </w:rPr>
      </w:pPr>
    </w:p>
    <w:p w:rsidR="00DE4768" w:rsidRPr="00FC0CCB" w:rsidRDefault="00DE4768" w:rsidP="00DE4768">
      <w:pPr>
        <w:pStyle w:val="ListParagraph"/>
        <w:ind w:left="0"/>
        <w:jc w:val="center"/>
        <w:rPr>
          <w:color w:val="000000"/>
          <w:sz w:val="22"/>
          <w:szCs w:val="22"/>
        </w:rPr>
      </w:pPr>
    </w:p>
    <w:p w:rsidR="00FC0CCB" w:rsidRDefault="00FC0CCB" w:rsidP="00FC0CCB">
      <w:pPr>
        <w:jc w:val="both"/>
      </w:pPr>
    </w:p>
    <w:p w:rsidR="00FC0CCB" w:rsidRPr="00356D64" w:rsidRDefault="00FC0CCB" w:rsidP="00FC0CCB">
      <w:pPr>
        <w:jc w:val="both"/>
        <w:rPr>
          <w:rFonts w:cs="Trebuchet MS"/>
          <w:sz w:val="22"/>
          <w:szCs w:val="22"/>
          <w:u w:val="single"/>
          <w:lang w:eastAsia="en-GB"/>
        </w:rPr>
      </w:pPr>
    </w:p>
    <w:sectPr w:rsidR="00FC0CCB" w:rsidRPr="00356D64">
      <w:headerReference w:type="even" r:id="rId10"/>
      <w:headerReference w:type="default" r:id="rId11"/>
      <w:footerReference w:type="even" r:id="rId12"/>
      <w:footerReference w:type="default" r:id="rId13"/>
      <w:headerReference w:type="first" r:id="rId14"/>
      <w:footerReference w:type="first" r:id="rId15"/>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182" w:rsidRDefault="006E3182">
      <w:r>
        <w:separator/>
      </w:r>
    </w:p>
  </w:endnote>
  <w:endnote w:type="continuationSeparator" w:id="0">
    <w:p w:rsidR="006E3182" w:rsidRDefault="006E3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386" w:rsidRDefault="009013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386" w:rsidRDefault="0090138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386" w:rsidRDefault="009013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182" w:rsidRDefault="006E3182">
      <w:r>
        <w:separator/>
      </w:r>
    </w:p>
  </w:footnote>
  <w:footnote w:type="continuationSeparator" w:id="0">
    <w:p w:rsidR="006E3182" w:rsidRDefault="006E31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386" w:rsidRDefault="009013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386" w:rsidRDefault="009013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386" w:rsidRDefault="009013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C32865"/>
    <w:multiLevelType w:val="hybridMultilevel"/>
    <w:tmpl w:val="928479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2E13E1"/>
    <w:multiLevelType w:val="hybridMultilevel"/>
    <w:tmpl w:val="18106532"/>
    <w:lvl w:ilvl="0" w:tplc="8FBED280">
      <w:start w:val="1"/>
      <w:numFmt w:val="decimal"/>
      <w:lvlText w:val="%1."/>
      <w:lvlJc w:val="left"/>
      <w:pPr>
        <w:ind w:left="720" w:hanging="360"/>
      </w:pPr>
      <w:rPr>
        <w:rFonts w:cs="Times New Roman" w:hint="default"/>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1"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2"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4"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9"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1"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8"/>
  </w:num>
  <w:num w:numId="2">
    <w:abstractNumId w:val="24"/>
  </w:num>
  <w:num w:numId="3">
    <w:abstractNumId w:val="6"/>
  </w:num>
  <w:num w:numId="4">
    <w:abstractNumId w:val="33"/>
  </w:num>
  <w:num w:numId="5">
    <w:abstractNumId w:val="19"/>
  </w:num>
  <w:num w:numId="6">
    <w:abstractNumId w:val="14"/>
  </w:num>
  <w:num w:numId="7">
    <w:abstractNumId w:val="3"/>
  </w:num>
  <w:num w:numId="8">
    <w:abstractNumId w:val="29"/>
  </w:num>
  <w:num w:numId="9">
    <w:abstractNumId w:val="25"/>
  </w:num>
  <w:num w:numId="10">
    <w:abstractNumId w:val="2"/>
  </w:num>
  <w:num w:numId="11">
    <w:abstractNumId w:val="8"/>
  </w:num>
  <w:num w:numId="12">
    <w:abstractNumId w:val="31"/>
  </w:num>
  <w:num w:numId="13">
    <w:abstractNumId w:val="5"/>
  </w:num>
  <w:num w:numId="14">
    <w:abstractNumId w:val="28"/>
  </w:num>
  <w:num w:numId="15">
    <w:abstractNumId w:val="18"/>
  </w:num>
  <w:num w:numId="16">
    <w:abstractNumId w:val="26"/>
  </w:num>
  <w:num w:numId="17">
    <w:abstractNumId w:val="20"/>
  </w:num>
  <w:num w:numId="18">
    <w:abstractNumId w:val="32"/>
  </w:num>
  <w:num w:numId="19">
    <w:abstractNumId w:val="1"/>
  </w:num>
  <w:num w:numId="20">
    <w:abstractNumId w:val="11"/>
  </w:num>
  <w:num w:numId="21">
    <w:abstractNumId w:val="27"/>
  </w:num>
  <w:num w:numId="22">
    <w:abstractNumId w:val="15"/>
  </w:num>
  <w:num w:numId="23">
    <w:abstractNumId w:val="10"/>
  </w:num>
  <w:num w:numId="24">
    <w:abstractNumId w:val="16"/>
  </w:num>
  <w:num w:numId="25">
    <w:abstractNumId w:val="13"/>
  </w:num>
  <w:num w:numId="26">
    <w:abstractNumId w:val="21"/>
  </w:num>
  <w:num w:numId="27">
    <w:abstractNumId w:val="0"/>
  </w:num>
  <w:num w:numId="28">
    <w:abstractNumId w:val="23"/>
    <w:lvlOverride w:ilvl="0"/>
  </w:num>
  <w:num w:numId="29">
    <w:abstractNumId w:val="9"/>
  </w:num>
  <w:num w:numId="30">
    <w:abstractNumId w:val="12"/>
  </w:num>
  <w:num w:numId="31">
    <w:abstractNumId w:val="30"/>
  </w:num>
  <w:num w:numId="32">
    <w:abstractNumId w:val="34"/>
  </w:num>
  <w:num w:numId="33">
    <w:abstractNumId w:val="22"/>
  </w:num>
  <w:num w:numId="34">
    <w:abstractNumId w:val="17"/>
  </w:num>
  <w:num w:numId="35">
    <w:abstractNumId w:val="7"/>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102627"/>
    <w:rsid w:val="001469EC"/>
    <w:rsid w:val="0020104C"/>
    <w:rsid w:val="00315DC2"/>
    <w:rsid w:val="004401B9"/>
    <w:rsid w:val="004A1982"/>
    <w:rsid w:val="004D1A30"/>
    <w:rsid w:val="005344FD"/>
    <w:rsid w:val="00553560"/>
    <w:rsid w:val="005A28D1"/>
    <w:rsid w:val="00607886"/>
    <w:rsid w:val="006E2296"/>
    <w:rsid w:val="006E3182"/>
    <w:rsid w:val="006F1C0D"/>
    <w:rsid w:val="0077757D"/>
    <w:rsid w:val="007E13F9"/>
    <w:rsid w:val="008D1C77"/>
    <w:rsid w:val="00901386"/>
    <w:rsid w:val="00907E82"/>
    <w:rsid w:val="00930DBE"/>
    <w:rsid w:val="00A104EC"/>
    <w:rsid w:val="00A4515B"/>
    <w:rsid w:val="00A62D45"/>
    <w:rsid w:val="00BF68FB"/>
    <w:rsid w:val="00D6220D"/>
    <w:rsid w:val="00DA0754"/>
    <w:rsid w:val="00DE0AB8"/>
    <w:rsid w:val="00DE4768"/>
    <w:rsid w:val="00EC3A01"/>
    <w:rsid w:val="00ED65D6"/>
    <w:rsid w:val="00F7410D"/>
    <w:rsid w:val="00FC0C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BE41A743-1D09-4305-AC5B-E32101D0D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F7410D"/>
    <w:rPr>
      <w:sz w:val="16"/>
      <w:szCs w:val="16"/>
    </w:rPr>
  </w:style>
  <w:style w:type="paragraph" w:styleId="CommentText">
    <w:name w:val="annotation text"/>
    <w:basedOn w:val="Normal"/>
    <w:link w:val="CommentTextChar"/>
    <w:rsid w:val="00F7410D"/>
    <w:rPr>
      <w:sz w:val="20"/>
    </w:rPr>
  </w:style>
  <w:style w:type="character" w:customStyle="1" w:styleId="CommentTextChar">
    <w:name w:val="Comment Text Char"/>
    <w:link w:val="CommentText"/>
    <w:rsid w:val="00F7410D"/>
    <w:rPr>
      <w:rFonts w:ascii="Trebuchet MS" w:hAnsi="Trebuchet MS"/>
      <w:lang w:eastAsia="en-US"/>
    </w:rPr>
  </w:style>
  <w:style w:type="paragraph" w:styleId="CommentSubject">
    <w:name w:val="annotation subject"/>
    <w:basedOn w:val="CommentText"/>
    <w:next w:val="CommentText"/>
    <w:link w:val="CommentSubjectChar"/>
    <w:rsid w:val="00F7410D"/>
    <w:rPr>
      <w:b/>
      <w:bCs/>
    </w:rPr>
  </w:style>
  <w:style w:type="character" w:customStyle="1" w:styleId="CommentSubjectChar">
    <w:name w:val="Comment Subject Char"/>
    <w:link w:val="CommentSubject"/>
    <w:rsid w:val="00F7410D"/>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1202</Words>
  <Characters>6856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2022-06-27T08:20:00Z</dcterms:created>
  <dcterms:modified xsi:type="dcterms:W3CDTF">2022-06-27T08:20:00Z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