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3AE" w:rsidRPr="00FF3B1B" w:rsidRDefault="006E13AE">
      <w:pPr>
        <w:pStyle w:val="BodyText"/>
        <w:tabs>
          <w:tab w:val="left" w:pos="2552"/>
        </w:tabs>
        <w:ind w:left="2552" w:hanging="2552"/>
        <w:jc w:val="both"/>
        <w:rPr>
          <w:rFonts w:ascii="Trebuchet MS" w:hAnsi="Trebuchet MS"/>
          <w:b w:val="0"/>
          <w:sz w:val="22"/>
          <w:szCs w:val="22"/>
        </w:rPr>
      </w:pPr>
      <w:bookmarkStart w:id="0" w:name="_GoBack"/>
      <w:bookmarkEnd w:id="0"/>
    </w:p>
    <w:p w:rsidR="006E13AE" w:rsidRPr="00FF3B1B" w:rsidRDefault="006E13AE" w:rsidP="006E13A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E13AE" w:rsidRPr="00FF3B1B" w:rsidRDefault="006E13AE" w:rsidP="006E13AE">
      <w:pPr>
        <w:pStyle w:val="BodyText"/>
        <w:tabs>
          <w:tab w:val="left" w:pos="2552"/>
        </w:tabs>
        <w:ind w:left="3272" w:hanging="2552"/>
        <w:jc w:val="both"/>
        <w:rPr>
          <w:rFonts w:ascii="Trebuchet MS" w:hAnsi="Trebuchet MS"/>
          <w:sz w:val="22"/>
          <w:szCs w:val="22"/>
        </w:rPr>
      </w:pPr>
    </w:p>
    <w:p w:rsidR="006E13AE" w:rsidRPr="00FF3B1B" w:rsidRDefault="006E13AE" w:rsidP="006E13A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Norcot</w:t>
      </w:r>
    </w:p>
    <w:p w:rsidR="006E13AE" w:rsidRPr="00FF3B1B" w:rsidRDefault="006E13AE" w:rsidP="006E13A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211873</w:t>
      </w:r>
      <w:r w:rsidRPr="00FF3B1B">
        <w:rPr>
          <w:rFonts w:ascii="Trebuchet MS" w:hAnsi="Trebuchet MS"/>
          <w:b w:val="0"/>
          <w:sz w:val="22"/>
          <w:szCs w:val="22"/>
        </w:rPr>
        <w:t>/</w:t>
      </w:r>
      <w:r w:rsidRPr="00FF3B1B">
        <w:rPr>
          <w:rFonts w:ascii="Trebuchet MS" w:hAnsi="Trebuchet MS"/>
          <w:sz w:val="22"/>
          <w:szCs w:val="22"/>
        </w:rPr>
        <w:t>HOU</w:t>
      </w:r>
    </w:p>
    <w:p w:rsidR="006E13AE" w:rsidRPr="00FF3B1B" w:rsidRDefault="006E13AE" w:rsidP="006E13A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50 Amblecote Road, Tilehurst, Reading, RG30 4BP</w:t>
      </w:r>
    </w:p>
    <w:p w:rsidR="006E13AE" w:rsidRPr="00FF3B1B" w:rsidRDefault="006E13AE" w:rsidP="006E13AE">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erection of part single part two storey side and rear extension to dwelling. </w:t>
      </w:r>
    </w:p>
    <w:p w:rsidR="006E13AE" w:rsidRPr="00FF3B1B" w:rsidRDefault="006E13AE" w:rsidP="006E13A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E13AE" w:rsidRPr="00FF3B1B" w:rsidRDefault="006E13AE" w:rsidP="006E13A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 Fijalkowski</w:t>
      </w:r>
    </w:p>
    <w:p w:rsidR="006E13AE" w:rsidRDefault="006E13AE" w:rsidP="006E13AE">
      <w:pPr>
        <w:pStyle w:val="BodyText"/>
        <w:ind w:left="720"/>
        <w:jc w:val="both"/>
        <w:rPr>
          <w:rFonts w:ascii="Trebuchet MS" w:hAnsi="Trebuchet MS"/>
          <w:sz w:val="22"/>
          <w:szCs w:val="22"/>
        </w:rPr>
      </w:pPr>
      <w:r w:rsidRPr="00FF3B1B">
        <w:rPr>
          <w:rFonts w:ascii="Trebuchet MS" w:hAnsi="Trebuchet MS"/>
          <w:sz w:val="22"/>
          <w:szCs w:val="22"/>
        </w:rPr>
        <w:t>Date received (valid from): 18 November 2021</w:t>
      </w:r>
      <w:r>
        <w:rPr>
          <w:rFonts w:ascii="Trebuchet MS" w:hAnsi="Trebuchet MS"/>
          <w:sz w:val="22"/>
          <w:szCs w:val="22"/>
        </w:rPr>
        <w:t xml:space="preserve">     </w:t>
      </w:r>
    </w:p>
    <w:p w:rsidR="006E13AE" w:rsidRPr="00FF3B1B" w:rsidRDefault="006E13AE" w:rsidP="006E13AE">
      <w:pPr>
        <w:pStyle w:val="BodyText"/>
        <w:jc w:val="both"/>
        <w:rPr>
          <w:rFonts w:ascii="Trebuchet MS" w:hAnsi="Trebuchet MS"/>
          <w:sz w:val="22"/>
          <w:szCs w:val="22"/>
        </w:rPr>
      </w:pPr>
      <w:r>
        <w:rPr>
          <w:rFonts w:ascii="Trebuchet MS" w:hAnsi="Trebuchet MS"/>
          <w:sz w:val="22"/>
          <w:szCs w:val="22"/>
        </w:rPr>
        <w:t xml:space="preserve">           </w:t>
      </w:r>
      <w:r w:rsidRPr="00FF3B1B">
        <w:rPr>
          <w:rFonts w:ascii="Trebuchet MS" w:hAnsi="Trebuchet MS"/>
          <w:sz w:val="22"/>
          <w:szCs w:val="22"/>
        </w:rPr>
        <w:t xml:space="preserve">Target Decision date: </w:t>
      </w:r>
      <w:r w:rsidR="00D05DA6">
        <w:rPr>
          <w:rFonts w:ascii="Trebuchet MS" w:hAnsi="Trebuchet MS" w:cs="Trebuchet MS"/>
          <w:noProof/>
          <w:sz w:val="22"/>
          <w:szCs w:val="22"/>
        </w:rPr>
        <w:t>29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6E13AE" w:rsidRPr="00FF3B1B" w:rsidRDefault="006E13AE">
      <w:pPr>
        <w:pStyle w:val="BodyText"/>
        <w:tabs>
          <w:tab w:val="left" w:pos="2552"/>
        </w:tabs>
        <w:ind w:left="2552" w:hanging="2552"/>
        <w:jc w:val="both"/>
        <w:rPr>
          <w:rFonts w:ascii="Trebuchet MS" w:hAnsi="Trebuchet MS"/>
          <w:b w:val="0"/>
          <w:sz w:val="22"/>
          <w:szCs w:val="22"/>
        </w:rPr>
      </w:pPr>
    </w:p>
    <w:p w:rsidR="006E13AE" w:rsidRPr="00FF3B1B" w:rsidRDefault="006E13AE">
      <w:pPr>
        <w:jc w:val="both"/>
        <w:rPr>
          <w:b/>
          <w:bCs/>
          <w:sz w:val="22"/>
          <w:szCs w:val="22"/>
        </w:rPr>
      </w:pPr>
      <w:r w:rsidRPr="00FF3B1B">
        <w:rPr>
          <w:b/>
          <w:bCs/>
          <w:sz w:val="22"/>
          <w:szCs w:val="22"/>
        </w:rPr>
        <w:t>1.</w:t>
      </w:r>
      <w:r w:rsidRPr="00FF3B1B">
        <w:rPr>
          <w:b/>
          <w:bCs/>
          <w:sz w:val="22"/>
          <w:szCs w:val="22"/>
        </w:rPr>
        <w:tab/>
        <w:t>INTRODUCTION</w:t>
      </w:r>
    </w:p>
    <w:p w:rsidR="006E13AE" w:rsidRDefault="00AA0B33" w:rsidP="00AA0B33">
      <w:pPr>
        <w:ind w:left="720"/>
        <w:jc w:val="both"/>
        <w:rPr>
          <w:sz w:val="22"/>
          <w:szCs w:val="22"/>
        </w:rPr>
      </w:pPr>
      <w:r>
        <w:rPr>
          <w:sz w:val="22"/>
          <w:szCs w:val="22"/>
        </w:rPr>
        <w:t xml:space="preserve">The site is a two storey semi-detached dwelling on the Southern side of Amblecote road, in a predominantly residential area. It is among buildings of similar style and size on the same side of the street and bungalows on the other side of the street. </w:t>
      </w:r>
    </w:p>
    <w:p w:rsidR="00AA0B33" w:rsidRPr="00FF3B1B" w:rsidRDefault="005F1C77" w:rsidP="00AA0B33">
      <w:pPr>
        <w:ind w:left="720"/>
        <w:jc w:val="both"/>
        <w:rPr>
          <w:sz w:val="22"/>
          <w:szCs w:val="22"/>
        </w:rPr>
      </w:pPr>
      <w:r w:rsidRPr="00227AB1">
        <w:rPr>
          <w:noProof/>
          <w:lang w:eastAsia="en-GB"/>
        </w:rPr>
        <w:drawing>
          <wp:inline distT="0" distB="0" distL="0" distR="0">
            <wp:extent cx="2571750" cy="1438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1438275"/>
                    </a:xfrm>
                    <a:prstGeom prst="rect">
                      <a:avLst/>
                    </a:prstGeom>
                    <a:noFill/>
                    <a:ln>
                      <a:noFill/>
                    </a:ln>
                  </pic:spPr>
                </pic:pic>
              </a:graphicData>
            </a:graphic>
          </wp:inline>
        </w:drawing>
      </w:r>
      <w:r w:rsidR="00AA0B33">
        <w:rPr>
          <w:noProof/>
          <w:lang w:eastAsia="en-GB"/>
        </w:rPr>
        <w:t xml:space="preserve">          </w:t>
      </w:r>
      <w:r w:rsidRPr="00227AB1">
        <w:rPr>
          <w:noProof/>
          <w:lang w:eastAsia="en-GB"/>
        </w:rPr>
        <w:drawing>
          <wp:inline distT="0" distB="0" distL="0" distR="0">
            <wp:extent cx="2438400" cy="14573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457325"/>
                    </a:xfrm>
                    <a:prstGeom prst="rect">
                      <a:avLst/>
                    </a:prstGeom>
                    <a:noFill/>
                    <a:ln>
                      <a:noFill/>
                    </a:ln>
                  </pic:spPr>
                </pic:pic>
              </a:graphicData>
            </a:graphic>
          </wp:inline>
        </w:drawing>
      </w:r>
    </w:p>
    <w:p w:rsidR="006E13AE" w:rsidRPr="00FF3B1B" w:rsidRDefault="006E13AE">
      <w:pPr>
        <w:jc w:val="both"/>
        <w:rPr>
          <w:b/>
          <w:bCs/>
          <w:sz w:val="22"/>
          <w:szCs w:val="22"/>
        </w:rPr>
      </w:pPr>
    </w:p>
    <w:p w:rsidR="006E13AE" w:rsidRPr="00FF3B1B" w:rsidRDefault="006E13AE">
      <w:pPr>
        <w:jc w:val="both"/>
        <w:rPr>
          <w:b/>
          <w:bCs/>
          <w:sz w:val="22"/>
          <w:szCs w:val="22"/>
        </w:rPr>
      </w:pPr>
      <w:r w:rsidRPr="00FF3B1B">
        <w:rPr>
          <w:b/>
          <w:bCs/>
          <w:sz w:val="22"/>
          <w:szCs w:val="22"/>
        </w:rPr>
        <w:t>2.</w:t>
      </w:r>
      <w:r w:rsidRPr="00FF3B1B">
        <w:rPr>
          <w:b/>
          <w:bCs/>
          <w:sz w:val="22"/>
          <w:szCs w:val="22"/>
        </w:rPr>
        <w:tab/>
        <w:t>PROPOSAL AND SUPPORTING INFORMATION</w:t>
      </w:r>
    </w:p>
    <w:p w:rsidR="006E13AE" w:rsidRPr="00FF3B1B" w:rsidRDefault="006E13AE">
      <w:pPr>
        <w:pStyle w:val="BodyText"/>
        <w:jc w:val="both"/>
        <w:rPr>
          <w:rFonts w:ascii="Trebuchet MS" w:hAnsi="Trebuchet MS"/>
          <w:sz w:val="22"/>
          <w:szCs w:val="22"/>
        </w:rPr>
      </w:pPr>
    </w:p>
    <w:p w:rsidR="006E13AE" w:rsidRPr="00FF3B1B" w:rsidRDefault="00AA0B33" w:rsidP="00AA0B33">
      <w:pPr>
        <w:ind w:left="720"/>
        <w:rPr>
          <w:sz w:val="22"/>
          <w:szCs w:val="22"/>
        </w:rPr>
      </w:pPr>
      <w:r>
        <w:rPr>
          <w:sz w:val="22"/>
          <w:szCs w:val="22"/>
        </w:rPr>
        <w:t xml:space="preserve">The proposal is to erect a </w:t>
      </w:r>
      <w:r w:rsidR="006E13AE">
        <w:rPr>
          <w:sz w:val="22"/>
          <w:szCs w:val="22"/>
        </w:rPr>
        <w:t>part single</w:t>
      </w:r>
      <w:r w:rsidR="00AF42D6">
        <w:rPr>
          <w:sz w:val="22"/>
          <w:szCs w:val="22"/>
        </w:rPr>
        <w:t>,</w:t>
      </w:r>
      <w:r w:rsidR="006E13AE">
        <w:rPr>
          <w:sz w:val="22"/>
          <w:szCs w:val="22"/>
        </w:rPr>
        <w:t xml:space="preserve"> part two storey side and rear extension to </w:t>
      </w:r>
      <w:r>
        <w:rPr>
          <w:sz w:val="22"/>
          <w:szCs w:val="22"/>
        </w:rPr>
        <w:t xml:space="preserve">the original </w:t>
      </w:r>
      <w:r w:rsidR="006E13AE">
        <w:rPr>
          <w:sz w:val="22"/>
          <w:szCs w:val="22"/>
        </w:rPr>
        <w:t xml:space="preserve">dwelling. </w:t>
      </w:r>
      <w:r w:rsidR="00854481">
        <w:rPr>
          <w:sz w:val="22"/>
          <w:szCs w:val="22"/>
        </w:rPr>
        <w:t>This proposal will increase the dwelling by approximately 1.2m to the side and 1.1m to the rear.</w:t>
      </w:r>
    </w:p>
    <w:p w:rsidR="006E13AE" w:rsidRPr="00FF3B1B" w:rsidRDefault="006E13AE">
      <w:pPr>
        <w:pStyle w:val="BodyText"/>
        <w:ind w:left="720" w:hanging="720"/>
        <w:jc w:val="both"/>
        <w:rPr>
          <w:rFonts w:ascii="Trebuchet MS" w:hAnsi="Trebuchet MS"/>
          <w:b w:val="0"/>
          <w:sz w:val="22"/>
          <w:szCs w:val="22"/>
        </w:rPr>
      </w:pPr>
    </w:p>
    <w:p w:rsidR="006E13AE" w:rsidRDefault="006E13AE" w:rsidP="006E13A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077732">
        <w:rPr>
          <w:rFonts w:ascii="Trebuchet MS" w:hAnsi="Trebuchet MS"/>
          <w:b w:val="0"/>
          <w:bCs/>
          <w:sz w:val="22"/>
          <w:szCs w:val="22"/>
        </w:rPr>
        <w:t xml:space="preserve"> (Received 18</w:t>
      </w:r>
      <w:r w:rsidR="00077732" w:rsidRPr="00077732">
        <w:rPr>
          <w:rFonts w:ascii="Trebuchet MS" w:hAnsi="Trebuchet MS"/>
          <w:b w:val="0"/>
          <w:bCs/>
          <w:sz w:val="22"/>
          <w:szCs w:val="22"/>
          <w:vertAlign w:val="superscript"/>
        </w:rPr>
        <w:t>th</w:t>
      </w:r>
      <w:r w:rsidR="00077732">
        <w:rPr>
          <w:rFonts w:ascii="Trebuchet MS" w:hAnsi="Trebuchet MS"/>
          <w:b w:val="0"/>
          <w:bCs/>
          <w:sz w:val="22"/>
          <w:szCs w:val="22"/>
        </w:rPr>
        <w:t xml:space="preserve"> December 2021)</w:t>
      </w:r>
    </w:p>
    <w:p w:rsidR="00854481" w:rsidRPr="00854481" w:rsidRDefault="00854481" w:rsidP="00854481">
      <w:pPr>
        <w:overflowPunct/>
        <w:ind w:left="720"/>
        <w:textAlignment w:val="auto"/>
        <w:rPr>
          <w:rFonts w:cs="Swiss721BT-LightExtended"/>
          <w:sz w:val="22"/>
          <w:szCs w:val="22"/>
          <w:lang w:eastAsia="en-GB"/>
        </w:rPr>
      </w:pPr>
      <w:r w:rsidRPr="00854481">
        <w:rPr>
          <w:rFonts w:cs="Swiss721BT-LightExtended"/>
          <w:sz w:val="22"/>
          <w:szCs w:val="22"/>
          <w:lang w:eastAsia="en-GB"/>
        </w:rPr>
        <w:t>Drawing NO 05: Existing Block plan</w:t>
      </w:r>
    </w:p>
    <w:p w:rsidR="00854481" w:rsidRDefault="00854481" w:rsidP="00854481">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16</w:t>
      </w:r>
      <w:r w:rsidRPr="00854481">
        <w:rPr>
          <w:rFonts w:cs="Swiss721BT-LightExtended"/>
          <w:sz w:val="22"/>
          <w:szCs w:val="22"/>
          <w:lang w:eastAsia="en-GB"/>
        </w:rPr>
        <w:t xml:space="preserve">: </w:t>
      </w:r>
      <w:r>
        <w:rPr>
          <w:rFonts w:cs="Swiss721BT-LightExtended"/>
          <w:sz w:val="22"/>
          <w:szCs w:val="22"/>
          <w:lang w:eastAsia="en-GB"/>
        </w:rPr>
        <w:t>Proposed</w:t>
      </w:r>
      <w:r w:rsidRPr="00854481">
        <w:rPr>
          <w:rFonts w:cs="Swiss721BT-LightExtended"/>
          <w:sz w:val="22"/>
          <w:szCs w:val="22"/>
          <w:lang w:eastAsia="en-GB"/>
        </w:rPr>
        <w:t xml:space="preserve"> Block plan</w:t>
      </w:r>
    </w:p>
    <w:p w:rsidR="00854481" w:rsidRDefault="00854481" w:rsidP="00854481">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01</w:t>
      </w:r>
      <w:r w:rsidRPr="00854481">
        <w:rPr>
          <w:rFonts w:cs="Swiss721BT-LightExtended"/>
          <w:sz w:val="22"/>
          <w:szCs w:val="22"/>
          <w:lang w:eastAsia="en-GB"/>
        </w:rPr>
        <w:t xml:space="preserve">: </w:t>
      </w:r>
      <w:r>
        <w:rPr>
          <w:rFonts w:cs="Swiss721BT-LightExtended"/>
          <w:sz w:val="22"/>
          <w:szCs w:val="22"/>
          <w:lang w:eastAsia="en-GB"/>
        </w:rPr>
        <w:t>Existing Ground &amp; First Floor</w:t>
      </w:r>
      <w:r w:rsidRPr="00854481">
        <w:rPr>
          <w:rFonts w:cs="Swiss721BT-LightExtended"/>
          <w:sz w:val="22"/>
          <w:szCs w:val="22"/>
          <w:lang w:eastAsia="en-GB"/>
        </w:rPr>
        <w:t xml:space="preserve"> plan</w:t>
      </w:r>
      <w:r>
        <w:rPr>
          <w:rFonts w:cs="Swiss721BT-LightExtended"/>
          <w:sz w:val="22"/>
          <w:szCs w:val="22"/>
          <w:lang w:eastAsia="en-GB"/>
        </w:rPr>
        <w:t>s</w:t>
      </w:r>
    </w:p>
    <w:p w:rsidR="00AF42D6" w:rsidRDefault="00AF42D6" w:rsidP="00AF42D6">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11</w:t>
      </w:r>
      <w:r w:rsidRPr="00854481">
        <w:rPr>
          <w:rFonts w:cs="Swiss721BT-LightExtended"/>
          <w:sz w:val="22"/>
          <w:szCs w:val="22"/>
          <w:lang w:eastAsia="en-GB"/>
        </w:rPr>
        <w:t xml:space="preserve">: </w:t>
      </w:r>
      <w:r>
        <w:rPr>
          <w:rFonts w:cs="Swiss721BT-LightExtended"/>
          <w:sz w:val="22"/>
          <w:szCs w:val="22"/>
          <w:lang w:eastAsia="en-GB"/>
        </w:rPr>
        <w:t>Proposed Ground &amp; First Floor</w:t>
      </w:r>
      <w:r w:rsidRPr="00854481">
        <w:rPr>
          <w:rFonts w:cs="Swiss721BT-LightExtended"/>
          <w:sz w:val="22"/>
          <w:szCs w:val="22"/>
          <w:lang w:eastAsia="en-GB"/>
        </w:rPr>
        <w:t xml:space="preserve"> plan</w:t>
      </w:r>
      <w:r>
        <w:rPr>
          <w:rFonts w:cs="Swiss721BT-LightExtended"/>
          <w:sz w:val="22"/>
          <w:szCs w:val="22"/>
          <w:lang w:eastAsia="en-GB"/>
        </w:rPr>
        <w:t>s</w:t>
      </w:r>
    </w:p>
    <w:p w:rsidR="00AF42D6" w:rsidRDefault="00AF42D6" w:rsidP="00AF42D6">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02</w:t>
      </w:r>
      <w:r w:rsidRPr="00854481">
        <w:rPr>
          <w:rFonts w:cs="Swiss721BT-LightExtended"/>
          <w:sz w:val="22"/>
          <w:szCs w:val="22"/>
          <w:lang w:eastAsia="en-GB"/>
        </w:rPr>
        <w:t xml:space="preserve">: </w:t>
      </w:r>
      <w:r>
        <w:rPr>
          <w:rFonts w:cs="Swiss721BT-LightExtended"/>
          <w:sz w:val="22"/>
          <w:szCs w:val="22"/>
          <w:lang w:eastAsia="en-GB"/>
        </w:rPr>
        <w:t xml:space="preserve">Existing Roof </w:t>
      </w:r>
      <w:r w:rsidRPr="00854481">
        <w:rPr>
          <w:rFonts w:cs="Swiss721BT-LightExtended"/>
          <w:sz w:val="22"/>
          <w:szCs w:val="22"/>
          <w:lang w:eastAsia="en-GB"/>
        </w:rPr>
        <w:t>plan</w:t>
      </w:r>
    </w:p>
    <w:p w:rsidR="00D62F38" w:rsidRDefault="00D62F38" w:rsidP="00D62F38">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12</w:t>
      </w:r>
      <w:r w:rsidRPr="00854481">
        <w:rPr>
          <w:rFonts w:cs="Swiss721BT-LightExtended"/>
          <w:sz w:val="22"/>
          <w:szCs w:val="22"/>
          <w:lang w:eastAsia="en-GB"/>
        </w:rPr>
        <w:t xml:space="preserve">: </w:t>
      </w:r>
      <w:r>
        <w:rPr>
          <w:rFonts w:cs="Swiss721BT-LightExtended"/>
          <w:sz w:val="22"/>
          <w:szCs w:val="22"/>
          <w:lang w:eastAsia="en-GB"/>
        </w:rPr>
        <w:t xml:space="preserve">Proposed Roof </w:t>
      </w:r>
      <w:r w:rsidRPr="00854481">
        <w:rPr>
          <w:rFonts w:cs="Swiss721BT-LightExtended"/>
          <w:sz w:val="22"/>
          <w:szCs w:val="22"/>
          <w:lang w:eastAsia="en-GB"/>
        </w:rPr>
        <w:t>plan</w:t>
      </w:r>
    </w:p>
    <w:p w:rsidR="00D62F38" w:rsidRDefault="00D62F38" w:rsidP="00D62F38">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03</w:t>
      </w:r>
      <w:r w:rsidRPr="00854481">
        <w:rPr>
          <w:rFonts w:cs="Swiss721BT-LightExtended"/>
          <w:sz w:val="22"/>
          <w:szCs w:val="22"/>
          <w:lang w:eastAsia="en-GB"/>
        </w:rPr>
        <w:t xml:space="preserve">: </w:t>
      </w:r>
      <w:r>
        <w:rPr>
          <w:rFonts w:cs="Swiss721BT-LightExtended"/>
          <w:sz w:val="22"/>
          <w:szCs w:val="22"/>
          <w:lang w:eastAsia="en-GB"/>
        </w:rPr>
        <w:t>Existing Elevations</w:t>
      </w:r>
    </w:p>
    <w:p w:rsidR="00D62F38" w:rsidRDefault="00D62F38" w:rsidP="00D62F38">
      <w:pPr>
        <w:overflowPunct/>
        <w:ind w:left="720"/>
        <w:textAlignment w:val="auto"/>
        <w:rPr>
          <w:rFonts w:cs="Swiss721BT-LightExtended"/>
          <w:sz w:val="22"/>
          <w:szCs w:val="22"/>
          <w:lang w:eastAsia="en-GB"/>
        </w:rPr>
      </w:pPr>
      <w:r w:rsidRPr="00854481">
        <w:rPr>
          <w:rFonts w:cs="Swiss721BT-LightExtended"/>
          <w:sz w:val="22"/>
          <w:szCs w:val="22"/>
          <w:lang w:eastAsia="en-GB"/>
        </w:rPr>
        <w:t xml:space="preserve">Drawing NO </w:t>
      </w:r>
      <w:r>
        <w:rPr>
          <w:rFonts w:cs="Swiss721BT-LightExtended"/>
          <w:sz w:val="22"/>
          <w:szCs w:val="22"/>
          <w:lang w:eastAsia="en-GB"/>
        </w:rPr>
        <w:t>13</w:t>
      </w:r>
      <w:r w:rsidRPr="00854481">
        <w:rPr>
          <w:rFonts w:cs="Swiss721BT-LightExtended"/>
          <w:sz w:val="22"/>
          <w:szCs w:val="22"/>
          <w:lang w:eastAsia="en-GB"/>
        </w:rPr>
        <w:t xml:space="preserve">: </w:t>
      </w:r>
      <w:r>
        <w:rPr>
          <w:rFonts w:cs="Swiss721BT-LightExtended"/>
          <w:sz w:val="22"/>
          <w:szCs w:val="22"/>
          <w:lang w:eastAsia="en-GB"/>
        </w:rPr>
        <w:t>Proposed Elevations</w:t>
      </w:r>
    </w:p>
    <w:p w:rsidR="00A06E54" w:rsidRDefault="00A06E54" w:rsidP="00A06E54">
      <w:pPr>
        <w:overflowPunct/>
        <w:ind w:left="720"/>
        <w:textAlignment w:val="auto"/>
        <w:rPr>
          <w:rFonts w:cs="Swiss721BT-LightExtended"/>
          <w:sz w:val="22"/>
          <w:szCs w:val="22"/>
          <w:lang w:eastAsia="en-GB"/>
        </w:rPr>
      </w:pPr>
      <w:r>
        <w:rPr>
          <w:rFonts w:cs="Swiss721BT-LightExtended"/>
          <w:sz w:val="22"/>
          <w:szCs w:val="22"/>
          <w:lang w:eastAsia="en-GB"/>
        </w:rPr>
        <w:t>Drawing NO 20  : Loss of Light Assessment</w:t>
      </w:r>
    </w:p>
    <w:p w:rsidR="00A06E54" w:rsidRDefault="00A06E54" w:rsidP="00D62F38">
      <w:pPr>
        <w:overflowPunct/>
        <w:ind w:left="720"/>
        <w:textAlignment w:val="auto"/>
        <w:rPr>
          <w:rFonts w:cs="Swiss721BT-LightExtended"/>
          <w:sz w:val="22"/>
          <w:szCs w:val="22"/>
          <w:lang w:eastAsia="en-GB"/>
        </w:rPr>
      </w:pPr>
      <w:r>
        <w:rPr>
          <w:rFonts w:cs="Swiss721BT-LightExtended"/>
          <w:sz w:val="22"/>
          <w:szCs w:val="22"/>
          <w:lang w:eastAsia="en-GB"/>
        </w:rPr>
        <w:t>Drawing NO 20 REV A : Loss of Light Assessment</w:t>
      </w:r>
    </w:p>
    <w:p w:rsidR="00572884" w:rsidRDefault="00572884" w:rsidP="00D62F38">
      <w:pPr>
        <w:overflowPunct/>
        <w:ind w:left="720"/>
        <w:textAlignment w:val="auto"/>
        <w:rPr>
          <w:rFonts w:cs="Swiss721BT-LightExtended"/>
          <w:sz w:val="22"/>
          <w:szCs w:val="22"/>
          <w:lang w:eastAsia="en-GB"/>
        </w:rPr>
      </w:pPr>
    </w:p>
    <w:p w:rsidR="00572884" w:rsidRDefault="00572884" w:rsidP="00572884">
      <w:pPr>
        <w:overflowPunct/>
        <w:textAlignment w:val="auto"/>
        <w:rPr>
          <w:rFonts w:cs="Swiss721BT-LightExtended"/>
          <w:sz w:val="22"/>
          <w:szCs w:val="22"/>
          <w:lang w:eastAsia="en-GB"/>
        </w:rPr>
      </w:pPr>
      <w:r>
        <w:rPr>
          <w:rFonts w:cs="Swiss721BT-LightExtended"/>
          <w:sz w:val="22"/>
          <w:szCs w:val="22"/>
          <w:lang w:eastAsia="en-GB"/>
        </w:rPr>
        <w:t xml:space="preserve">     </w:t>
      </w:r>
      <w:r w:rsidR="005F1C77" w:rsidRPr="00572884">
        <w:rPr>
          <w:rFonts w:cs="Swiss721BT-LightExtended"/>
          <w:noProof/>
          <w:sz w:val="22"/>
          <w:szCs w:val="22"/>
          <w:lang w:eastAsia="en-GB"/>
        </w:rPr>
        <w:drawing>
          <wp:inline distT="0" distB="0" distL="0" distR="0">
            <wp:extent cx="2019300" cy="1381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381125"/>
                    </a:xfrm>
                    <a:prstGeom prst="rect">
                      <a:avLst/>
                    </a:prstGeom>
                    <a:noFill/>
                    <a:ln>
                      <a:noFill/>
                    </a:ln>
                  </pic:spPr>
                </pic:pic>
              </a:graphicData>
            </a:graphic>
          </wp:inline>
        </w:drawing>
      </w:r>
      <w:r>
        <w:rPr>
          <w:rFonts w:cs="Swiss721BT-LightExtended"/>
          <w:sz w:val="22"/>
          <w:szCs w:val="22"/>
          <w:lang w:eastAsia="en-GB"/>
        </w:rPr>
        <w:t xml:space="preserve">     </w:t>
      </w:r>
      <w:r w:rsidR="00F67DF2">
        <w:rPr>
          <w:rFonts w:cs="Swiss721BT-LightExtended"/>
          <w:sz w:val="22"/>
          <w:szCs w:val="22"/>
          <w:lang w:eastAsia="en-GB"/>
        </w:rPr>
        <w:t xml:space="preserve">             </w:t>
      </w:r>
      <w:r>
        <w:rPr>
          <w:rFonts w:cs="Swiss721BT-LightExtended"/>
          <w:sz w:val="22"/>
          <w:szCs w:val="22"/>
          <w:lang w:eastAsia="en-GB"/>
        </w:rPr>
        <w:t xml:space="preserve"> </w:t>
      </w:r>
      <w:r w:rsidRPr="00572884">
        <w:rPr>
          <w:rFonts w:cs="Swiss721BT-LightExtended"/>
          <w:sz w:val="22"/>
          <w:szCs w:val="22"/>
          <w:lang w:eastAsia="en-GB"/>
        </w:rPr>
        <w:t xml:space="preserve"> </w:t>
      </w:r>
      <w:r w:rsidR="005F1C77" w:rsidRPr="00572884">
        <w:rPr>
          <w:rFonts w:cs="Swiss721BT-LightExtended"/>
          <w:noProof/>
          <w:sz w:val="22"/>
          <w:szCs w:val="22"/>
          <w:lang w:eastAsia="en-GB"/>
        </w:rPr>
        <w:drawing>
          <wp:inline distT="0" distB="0" distL="0" distR="0">
            <wp:extent cx="177165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1650" cy="1485900"/>
                    </a:xfrm>
                    <a:prstGeom prst="rect">
                      <a:avLst/>
                    </a:prstGeom>
                    <a:noFill/>
                    <a:ln>
                      <a:noFill/>
                    </a:ln>
                  </pic:spPr>
                </pic:pic>
              </a:graphicData>
            </a:graphic>
          </wp:inline>
        </w:drawing>
      </w:r>
    </w:p>
    <w:p w:rsidR="00D62F38" w:rsidRDefault="00D62F38" w:rsidP="00D62F38">
      <w:pPr>
        <w:overflowPunct/>
        <w:ind w:left="720"/>
        <w:textAlignment w:val="auto"/>
        <w:rPr>
          <w:rFonts w:cs="Swiss721BT-LightExtended"/>
          <w:sz w:val="22"/>
          <w:szCs w:val="22"/>
          <w:lang w:eastAsia="en-GB"/>
        </w:rPr>
      </w:pPr>
    </w:p>
    <w:p w:rsidR="00D62F38" w:rsidRDefault="00D62F38" w:rsidP="00AF42D6">
      <w:pPr>
        <w:overflowPunct/>
        <w:ind w:left="720"/>
        <w:textAlignment w:val="auto"/>
        <w:rPr>
          <w:rFonts w:cs="Swiss721BT-LightExtended"/>
          <w:sz w:val="22"/>
          <w:szCs w:val="22"/>
          <w:lang w:eastAsia="en-GB"/>
        </w:rPr>
      </w:pPr>
    </w:p>
    <w:p w:rsidR="00AF42D6" w:rsidRPr="00854481" w:rsidRDefault="00AF42D6" w:rsidP="00AF42D6">
      <w:pPr>
        <w:overflowPunct/>
        <w:ind w:left="720"/>
        <w:textAlignment w:val="auto"/>
        <w:rPr>
          <w:rFonts w:cs="Swiss721BT-LightExtended"/>
          <w:sz w:val="22"/>
          <w:szCs w:val="22"/>
          <w:lang w:eastAsia="en-GB"/>
        </w:rPr>
      </w:pPr>
    </w:p>
    <w:p w:rsidR="00AF42D6" w:rsidRPr="00854481" w:rsidRDefault="00AF42D6" w:rsidP="00854481">
      <w:pPr>
        <w:overflowPunct/>
        <w:ind w:left="720"/>
        <w:textAlignment w:val="auto"/>
        <w:rPr>
          <w:rFonts w:cs="Swiss721BT-LightExtended"/>
          <w:sz w:val="22"/>
          <w:szCs w:val="22"/>
          <w:lang w:eastAsia="en-GB"/>
        </w:rPr>
      </w:pPr>
    </w:p>
    <w:p w:rsidR="00854481" w:rsidRPr="00854481" w:rsidRDefault="00854481" w:rsidP="00854481">
      <w:pPr>
        <w:overflowPunct/>
        <w:ind w:left="720"/>
        <w:textAlignment w:val="auto"/>
        <w:rPr>
          <w:rFonts w:cs="Swiss721BT-LightExtended"/>
          <w:sz w:val="22"/>
          <w:szCs w:val="22"/>
          <w:lang w:eastAsia="en-GB"/>
        </w:rPr>
      </w:pPr>
    </w:p>
    <w:p w:rsidR="00854481" w:rsidRPr="00FF3B1B" w:rsidRDefault="00854481" w:rsidP="00854481">
      <w:pPr>
        <w:pStyle w:val="BodyText"/>
        <w:ind w:left="720"/>
        <w:jc w:val="both"/>
        <w:rPr>
          <w:rFonts w:ascii="Trebuchet MS" w:hAnsi="Trebuchet MS"/>
          <w:b w:val="0"/>
          <w:sz w:val="22"/>
          <w:szCs w:val="22"/>
        </w:rPr>
      </w:pPr>
    </w:p>
    <w:p w:rsidR="00854481" w:rsidRDefault="00854481" w:rsidP="00854481">
      <w:pPr>
        <w:overflowPunct/>
        <w:textAlignment w:val="auto"/>
        <w:rPr>
          <w:rFonts w:ascii="Swiss721BT-LightExtended" w:hAnsi="Swiss721BT-LightExtended" w:cs="Swiss721BT-LightExtended"/>
          <w:szCs w:val="24"/>
          <w:lang w:eastAsia="en-GB"/>
        </w:rPr>
      </w:pPr>
    </w:p>
    <w:p w:rsidR="006E13AE" w:rsidRPr="00FF3B1B" w:rsidRDefault="006E13AE">
      <w:pPr>
        <w:pStyle w:val="BodyText"/>
        <w:ind w:left="720" w:hanging="720"/>
        <w:jc w:val="both"/>
        <w:rPr>
          <w:rFonts w:ascii="Trebuchet MS" w:hAnsi="Trebuchet MS"/>
          <w:b w:val="0"/>
          <w:sz w:val="22"/>
          <w:szCs w:val="22"/>
        </w:rPr>
      </w:pPr>
    </w:p>
    <w:p w:rsidR="006E13AE" w:rsidRPr="00FF3B1B" w:rsidRDefault="006E13AE">
      <w:pPr>
        <w:numPr>
          <w:ilvl w:val="0"/>
          <w:numId w:val="24"/>
        </w:numPr>
        <w:ind w:hanging="720"/>
        <w:jc w:val="both"/>
        <w:rPr>
          <w:b/>
          <w:bCs/>
          <w:sz w:val="22"/>
          <w:szCs w:val="22"/>
        </w:rPr>
      </w:pPr>
      <w:r w:rsidRPr="00FF3B1B">
        <w:rPr>
          <w:b/>
          <w:bCs/>
          <w:sz w:val="22"/>
          <w:szCs w:val="22"/>
        </w:rPr>
        <w:t xml:space="preserve">RELEVANT PLANNING HISTORY </w:t>
      </w:r>
    </w:p>
    <w:p w:rsidR="006E13AE" w:rsidRPr="00FF3B1B" w:rsidRDefault="006E13AE" w:rsidP="006E13AE">
      <w:pPr>
        <w:jc w:val="both"/>
        <w:rPr>
          <w:b/>
          <w:bCs/>
          <w:sz w:val="22"/>
          <w:szCs w:val="22"/>
        </w:rPr>
      </w:pPr>
    </w:p>
    <w:p w:rsidR="006E13AE" w:rsidRPr="004D4304" w:rsidRDefault="006E13AE" w:rsidP="006E13AE">
      <w:pPr>
        <w:jc w:val="both"/>
        <w:rPr>
          <w:bCs/>
          <w:sz w:val="22"/>
          <w:szCs w:val="22"/>
        </w:rPr>
      </w:pPr>
      <w:r>
        <w:rPr>
          <w:b/>
          <w:bCs/>
          <w:sz w:val="22"/>
          <w:szCs w:val="22"/>
        </w:rPr>
        <w:tab/>
      </w:r>
      <w:r w:rsidR="00AF42D6">
        <w:rPr>
          <w:bCs/>
          <w:sz w:val="22"/>
          <w:szCs w:val="22"/>
        </w:rPr>
        <w:t>None</w:t>
      </w:r>
    </w:p>
    <w:p w:rsidR="006E13AE" w:rsidRPr="00FF3B1B" w:rsidRDefault="006E13AE" w:rsidP="006E13AE">
      <w:pPr>
        <w:jc w:val="both"/>
        <w:rPr>
          <w:b/>
          <w:bCs/>
          <w:sz w:val="22"/>
          <w:szCs w:val="22"/>
        </w:rPr>
      </w:pPr>
    </w:p>
    <w:p w:rsidR="006E13AE" w:rsidRPr="00FF3B1B" w:rsidRDefault="006E13AE">
      <w:pPr>
        <w:jc w:val="both"/>
        <w:rPr>
          <w:b/>
          <w:bCs/>
          <w:sz w:val="22"/>
          <w:szCs w:val="22"/>
        </w:rPr>
      </w:pPr>
      <w:r w:rsidRPr="00FF3B1B">
        <w:rPr>
          <w:b/>
          <w:bCs/>
          <w:sz w:val="22"/>
          <w:szCs w:val="22"/>
        </w:rPr>
        <w:t>4.</w:t>
      </w:r>
      <w:r w:rsidRPr="00FF3B1B">
        <w:rPr>
          <w:b/>
          <w:bCs/>
          <w:sz w:val="22"/>
          <w:szCs w:val="22"/>
        </w:rPr>
        <w:tab/>
        <w:t>CONSULTATIONS</w:t>
      </w:r>
    </w:p>
    <w:p w:rsidR="006E13AE" w:rsidRPr="00FF3B1B" w:rsidRDefault="006E13AE">
      <w:pPr>
        <w:jc w:val="both"/>
        <w:rPr>
          <w:b/>
          <w:bCs/>
          <w:sz w:val="22"/>
          <w:szCs w:val="22"/>
        </w:rPr>
      </w:pPr>
    </w:p>
    <w:p w:rsidR="006E13AE" w:rsidRDefault="006E13AE">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E13AE" w:rsidRPr="00FF3B1B" w:rsidRDefault="006E13AE">
      <w:pPr>
        <w:jc w:val="both"/>
        <w:rPr>
          <w:b/>
          <w:sz w:val="22"/>
          <w:szCs w:val="22"/>
        </w:rPr>
      </w:pPr>
    </w:p>
    <w:p w:rsidR="006E13AE" w:rsidRPr="00FF3B1B" w:rsidRDefault="006E13AE" w:rsidP="006E13AE">
      <w:pPr>
        <w:ind w:firstLine="720"/>
        <w:rPr>
          <w:sz w:val="22"/>
          <w:szCs w:val="22"/>
        </w:rPr>
      </w:pPr>
      <w:r w:rsidRPr="00FF3B1B">
        <w:rPr>
          <w:sz w:val="22"/>
          <w:szCs w:val="22"/>
        </w:rPr>
        <w:t>46 Amblecote Road, Tilehurst, Reading, RG30 4BP</w:t>
      </w:r>
    </w:p>
    <w:p w:rsidR="006E13AE" w:rsidRPr="00FF3B1B" w:rsidRDefault="006E13AE" w:rsidP="006E13AE">
      <w:pPr>
        <w:ind w:firstLine="720"/>
        <w:rPr>
          <w:sz w:val="22"/>
          <w:szCs w:val="22"/>
        </w:rPr>
      </w:pPr>
      <w:r>
        <w:rPr>
          <w:sz w:val="22"/>
          <w:szCs w:val="22"/>
        </w:rPr>
        <w:t>48 Amblecote Road, Tilehurst, Reading, RG30 4BP</w:t>
      </w:r>
    </w:p>
    <w:p w:rsidR="006E13AE" w:rsidRPr="00FF3B1B" w:rsidRDefault="006E13AE" w:rsidP="006E13AE">
      <w:pPr>
        <w:ind w:firstLine="720"/>
        <w:rPr>
          <w:sz w:val="22"/>
          <w:szCs w:val="22"/>
        </w:rPr>
      </w:pPr>
      <w:r w:rsidRPr="00FF3B1B">
        <w:rPr>
          <w:sz w:val="22"/>
          <w:szCs w:val="22"/>
        </w:rPr>
        <w:t>52 Amblecote Road, Tilehurst, Reading, RG30 4BP</w:t>
      </w:r>
    </w:p>
    <w:p w:rsidR="006E13AE" w:rsidRPr="00FF3B1B" w:rsidRDefault="006E13AE" w:rsidP="006E13AE">
      <w:pPr>
        <w:ind w:firstLine="720"/>
        <w:rPr>
          <w:sz w:val="22"/>
          <w:szCs w:val="22"/>
        </w:rPr>
      </w:pPr>
      <w:r w:rsidRPr="00FF3B1B">
        <w:rPr>
          <w:sz w:val="22"/>
          <w:szCs w:val="22"/>
        </w:rPr>
        <w:t>Unit 5, Marcus Close, Tilehurst, Reading, RG30 4EA</w:t>
      </w:r>
    </w:p>
    <w:p w:rsidR="006E13AE" w:rsidRPr="00FF3B1B" w:rsidRDefault="006E13AE">
      <w:pPr>
        <w:ind w:left="720" w:hanging="720"/>
        <w:jc w:val="both"/>
        <w:rPr>
          <w:sz w:val="22"/>
          <w:szCs w:val="22"/>
        </w:rPr>
      </w:pPr>
    </w:p>
    <w:p w:rsidR="006E13AE" w:rsidRDefault="006E13AE">
      <w:pPr>
        <w:ind w:left="720" w:hanging="720"/>
        <w:jc w:val="both"/>
        <w:rPr>
          <w:sz w:val="22"/>
          <w:szCs w:val="22"/>
        </w:rPr>
      </w:pPr>
      <w:r w:rsidRPr="00FF3B1B">
        <w:rPr>
          <w:sz w:val="22"/>
          <w:szCs w:val="22"/>
        </w:rPr>
        <w:t>4.</w:t>
      </w:r>
      <w:r>
        <w:rPr>
          <w:sz w:val="22"/>
          <w:szCs w:val="22"/>
        </w:rPr>
        <w:t>2</w:t>
      </w:r>
      <w:r w:rsidR="00A06E54">
        <w:rPr>
          <w:sz w:val="22"/>
          <w:szCs w:val="22"/>
        </w:rPr>
        <w:tab/>
        <w:t>No l</w:t>
      </w:r>
      <w:r w:rsidRPr="00FF3B1B">
        <w:rPr>
          <w:sz w:val="22"/>
          <w:szCs w:val="22"/>
        </w:rPr>
        <w:t>etters of representati</w:t>
      </w:r>
      <w:r w:rsidR="00B95216">
        <w:rPr>
          <w:sz w:val="22"/>
          <w:szCs w:val="22"/>
        </w:rPr>
        <w:t>on have been received</w:t>
      </w:r>
      <w:r w:rsidR="00657F09">
        <w:rPr>
          <w:sz w:val="22"/>
          <w:szCs w:val="22"/>
        </w:rPr>
        <w:t xml:space="preserve"> objecting to the proposal, however there has been a representation form the neighbour, requesting that a party wall be erected by the applicant as agreed between them. This request has been passed on to the applicant</w:t>
      </w:r>
      <w:r w:rsidR="00B95216">
        <w:rPr>
          <w:sz w:val="22"/>
          <w:szCs w:val="22"/>
        </w:rPr>
        <w:t>.</w:t>
      </w:r>
    </w:p>
    <w:p w:rsidR="00B95216" w:rsidRDefault="00B95216">
      <w:pPr>
        <w:ind w:left="720" w:hanging="720"/>
        <w:jc w:val="both"/>
        <w:rPr>
          <w:sz w:val="22"/>
          <w:szCs w:val="22"/>
        </w:rPr>
      </w:pPr>
    </w:p>
    <w:p w:rsidR="00B95216" w:rsidRPr="00FF3B1B" w:rsidRDefault="00B95216" w:rsidP="00B95216">
      <w:pPr>
        <w:ind w:left="720" w:hanging="720"/>
        <w:jc w:val="both"/>
        <w:rPr>
          <w:sz w:val="22"/>
          <w:szCs w:val="22"/>
        </w:rPr>
      </w:pPr>
      <w:r>
        <w:rPr>
          <w:sz w:val="22"/>
          <w:szCs w:val="22"/>
        </w:rPr>
        <w:t xml:space="preserve">           In their correspondence with the agent, the PO advised the agent to submit a loss of light assessment drawing to better determine the impact of the proposed extension on the neighbouring properties on both sides.</w:t>
      </w:r>
      <w:r w:rsidR="00296FB3">
        <w:rPr>
          <w:sz w:val="22"/>
          <w:szCs w:val="22"/>
        </w:rPr>
        <w:t xml:space="preserve"> These have subsequently been provided.</w:t>
      </w:r>
    </w:p>
    <w:p w:rsidR="006E13AE" w:rsidRDefault="006E13AE" w:rsidP="00B95216">
      <w:pPr>
        <w:ind w:left="720"/>
        <w:jc w:val="both"/>
        <w:rPr>
          <w:sz w:val="22"/>
          <w:szCs w:val="22"/>
        </w:rPr>
      </w:pPr>
    </w:p>
    <w:p w:rsidR="006E13AE" w:rsidRDefault="006E13AE" w:rsidP="006E13AE">
      <w:pPr>
        <w:jc w:val="both"/>
        <w:rPr>
          <w:sz w:val="22"/>
          <w:szCs w:val="22"/>
        </w:rPr>
      </w:pPr>
    </w:p>
    <w:p w:rsidR="006E13AE" w:rsidRPr="00E51E4E" w:rsidRDefault="006E13AE" w:rsidP="006E13AE">
      <w:pPr>
        <w:overflowPunct/>
        <w:adjustRightInd/>
        <w:ind w:left="720"/>
        <w:jc w:val="both"/>
        <w:textAlignment w:val="auto"/>
        <w:rPr>
          <w:rFonts w:cs="Arial"/>
          <w:b/>
          <w:bCs/>
          <w:color w:val="000000"/>
          <w:sz w:val="22"/>
          <w:szCs w:val="22"/>
          <w:lang w:eastAsia="en-GB"/>
        </w:rPr>
      </w:pPr>
      <w:r w:rsidRPr="00E51E4E">
        <w:rPr>
          <w:rFonts w:cs="Arial"/>
          <w:b/>
          <w:bCs/>
          <w:color w:val="000000"/>
          <w:sz w:val="22"/>
          <w:szCs w:val="22"/>
          <w:lang w:eastAsia="en-GB"/>
        </w:rPr>
        <w:t>Equality Act 2010:</w:t>
      </w:r>
    </w:p>
    <w:p w:rsidR="006E13AE" w:rsidRPr="00E51E4E" w:rsidRDefault="006E13AE" w:rsidP="006E13AE">
      <w:pPr>
        <w:overflowPunct/>
        <w:adjustRightInd/>
        <w:ind w:left="720"/>
        <w:jc w:val="both"/>
        <w:textAlignment w:val="auto"/>
        <w:rPr>
          <w:rFonts w:cs="Arial"/>
          <w:bCs/>
          <w:color w:val="000000"/>
          <w:sz w:val="22"/>
          <w:szCs w:val="22"/>
          <w:lang w:eastAsia="en-GB"/>
        </w:rPr>
      </w:pPr>
      <w:r w:rsidRPr="00E51E4E">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E13AE" w:rsidRPr="00FF3B1B" w:rsidRDefault="006E13AE">
      <w:pPr>
        <w:ind w:left="720" w:hanging="720"/>
        <w:jc w:val="both"/>
        <w:rPr>
          <w:sz w:val="22"/>
          <w:szCs w:val="22"/>
        </w:rPr>
      </w:pPr>
    </w:p>
    <w:p w:rsidR="006E13AE" w:rsidRPr="00FF3B1B" w:rsidRDefault="006E13AE" w:rsidP="006E13AE">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6E13AE" w:rsidRPr="00FF3B1B" w:rsidRDefault="006E13AE" w:rsidP="006E13AE">
      <w:pPr>
        <w:ind w:left="720"/>
        <w:jc w:val="both"/>
        <w:rPr>
          <w:bCs/>
          <w:sz w:val="22"/>
          <w:szCs w:val="22"/>
          <w:lang w:eastAsia="en-GB"/>
        </w:rPr>
      </w:pPr>
    </w:p>
    <w:p w:rsidR="006E13AE" w:rsidRPr="00FF3B1B" w:rsidRDefault="006E13AE" w:rsidP="006E13A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E13AE" w:rsidRPr="00FF3B1B" w:rsidRDefault="006E13AE" w:rsidP="006E13AE">
      <w:pPr>
        <w:ind w:left="720"/>
        <w:jc w:val="both"/>
        <w:rPr>
          <w:b/>
          <w:bCs/>
          <w:sz w:val="22"/>
          <w:szCs w:val="22"/>
          <w:lang w:eastAsia="en-GB"/>
        </w:rPr>
      </w:pPr>
    </w:p>
    <w:p w:rsidR="006E13AE" w:rsidRPr="00FF3B1B" w:rsidRDefault="006E13AE" w:rsidP="006E13AE">
      <w:pPr>
        <w:ind w:left="720"/>
        <w:jc w:val="both"/>
        <w:rPr>
          <w:b/>
          <w:bCs/>
          <w:sz w:val="22"/>
          <w:szCs w:val="22"/>
          <w:u w:val="single"/>
          <w:lang w:eastAsia="en-GB"/>
        </w:rPr>
      </w:pPr>
      <w:r w:rsidRPr="00FF3B1B">
        <w:rPr>
          <w:b/>
          <w:bCs/>
          <w:sz w:val="22"/>
          <w:szCs w:val="22"/>
          <w:u w:val="single"/>
          <w:lang w:eastAsia="en-GB"/>
        </w:rPr>
        <w:t>National Policy</w:t>
      </w:r>
    </w:p>
    <w:p w:rsidR="006E13AE" w:rsidRPr="00FF3B1B" w:rsidRDefault="006E13AE" w:rsidP="006E13AE">
      <w:pPr>
        <w:ind w:left="720"/>
        <w:jc w:val="both"/>
        <w:rPr>
          <w:bCs/>
          <w:sz w:val="22"/>
          <w:szCs w:val="22"/>
          <w:lang w:eastAsia="en-GB"/>
        </w:rPr>
      </w:pPr>
      <w:r w:rsidRPr="00FF3B1B">
        <w:rPr>
          <w:bCs/>
          <w:sz w:val="22"/>
          <w:szCs w:val="22"/>
          <w:lang w:eastAsia="en-GB"/>
        </w:rPr>
        <w:t xml:space="preserve">National Planning Policy Framework </w:t>
      </w:r>
    </w:p>
    <w:p w:rsidR="006E13AE" w:rsidRPr="00FF3B1B" w:rsidRDefault="006E13AE" w:rsidP="006E13AE">
      <w:pPr>
        <w:ind w:left="720"/>
        <w:jc w:val="both"/>
        <w:rPr>
          <w:bCs/>
          <w:sz w:val="22"/>
          <w:szCs w:val="22"/>
          <w:lang w:eastAsia="en-GB"/>
        </w:rPr>
      </w:pPr>
      <w:r w:rsidRPr="00FF3B1B">
        <w:rPr>
          <w:bCs/>
          <w:sz w:val="22"/>
          <w:szCs w:val="22"/>
          <w:lang w:eastAsia="en-GB"/>
        </w:rPr>
        <w:t>National Planning Practice Guidance</w:t>
      </w:r>
    </w:p>
    <w:p w:rsidR="006E13AE" w:rsidRDefault="006E13AE" w:rsidP="006E13AE">
      <w:pPr>
        <w:ind w:left="720"/>
        <w:jc w:val="both"/>
        <w:rPr>
          <w:bCs/>
          <w:sz w:val="22"/>
          <w:szCs w:val="22"/>
          <w:lang w:eastAsia="en-GB"/>
        </w:rPr>
      </w:pPr>
    </w:p>
    <w:p w:rsidR="006E13AE" w:rsidRPr="00FF3B1B" w:rsidRDefault="006E13AE" w:rsidP="006E13AE">
      <w:pPr>
        <w:ind w:left="720"/>
        <w:jc w:val="both"/>
        <w:rPr>
          <w:b/>
          <w:bCs/>
          <w:sz w:val="22"/>
          <w:szCs w:val="22"/>
          <w:u w:val="single"/>
          <w:lang w:eastAsia="en-GB"/>
        </w:rPr>
      </w:pPr>
      <w:r w:rsidRPr="00FF3B1B">
        <w:rPr>
          <w:b/>
          <w:bCs/>
          <w:sz w:val="22"/>
          <w:szCs w:val="22"/>
          <w:u w:val="single"/>
          <w:lang w:eastAsia="en-GB"/>
        </w:rPr>
        <w:t xml:space="preserve">Reading Borough Local </w:t>
      </w:r>
      <w:r w:rsidR="00C8546D">
        <w:rPr>
          <w:b/>
          <w:bCs/>
          <w:sz w:val="22"/>
          <w:szCs w:val="22"/>
          <w:u w:val="single"/>
          <w:lang w:eastAsia="en-GB"/>
        </w:rPr>
        <w:t>Plan (2019)</w:t>
      </w:r>
    </w:p>
    <w:p w:rsidR="006E13AE" w:rsidRPr="00917B3D" w:rsidRDefault="006E13AE" w:rsidP="006E13AE">
      <w:pPr>
        <w:ind w:left="720"/>
        <w:jc w:val="both"/>
        <w:rPr>
          <w:bCs/>
          <w:sz w:val="22"/>
          <w:szCs w:val="22"/>
        </w:rPr>
      </w:pPr>
      <w:r w:rsidRPr="00917B3D">
        <w:rPr>
          <w:bCs/>
          <w:sz w:val="22"/>
          <w:szCs w:val="22"/>
        </w:rPr>
        <w:lastRenderedPageBreak/>
        <w:t>C</w:t>
      </w:r>
      <w:r>
        <w:rPr>
          <w:bCs/>
          <w:sz w:val="22"/>
          <w:szCs w:val="22"/>
        </w:rPr>
        <w:t>C</w:t>
      </w:r>
      <w:r w:rsidRPr="00917B3D">
        <w:rPr>
          <w:bCs/>
          <w:sz w:val="22"/>
          <w:szCs w:val="22"/>
        </w:rPr>
        <w:t>7 (Design and the Public Realm)</w:t>
      </w:r>
    </w:p>
    <w:p w:rsidR="006E13AE" w:rsidRPr="00917B3D" w:rsidRDefault="006E13AE" w:rsidP="006E13AE">
      <w:pPr>
        <w:ind w:left="720"/>
        <w:jc w:val="both"/>
        <w:rPr>
          <w:bCs/>
          <w:sz w:val="22"/>
          <w:szCs w:val="22"/>
        </w:rPr>
      </w:pPr>
      <w:r>
        <w:rPr>
          <w:bCs/>
          <w:sz w:val="22"/>
          <w:szCs w:val="22"/>
        </w:rPr>
        <w:t>CC8</w:t>
      </w:r>
      <w:r w:rsidRPr="00917B3D">
        <w:rPr>
          <w:bCs/>
          <w:sz w:val="22"/>
          <w:szCs w:val="22"/>
        </w:rPr>
        <w:t xml:space="preserve"> (Safeguarding Amenity) </w:t>
      </w:r>
    </w:p>
    <w:p w:rsidR="006E13AE" w:rsidRPr="00917B3D" w:rsidRDefault="006E13AE" w:rsidP="006E13AE">
      <w:pPr>
        <w:ind w:left="720"/>
        <w:jc w:val="both"/>
        <w:rPr>
          <w:bCs/>
          <w:sz w:val="22"/>
          <w:szCs w:val="22"/>
        </w:rPr>
      </w:pPr>
      <w:r>
        <w:rPr>
          <w:bCs/>
          <w:sz w:val="22"/>
          <w:szCs w:val="22"/>
        </w:rPr>
        <w:t>H9</w:t>
      </w:r>
      <w:r w:rsidRPr="00917B3D">
        <w:rPr>
          <w:bCs/>
          <w:sz w:val="22"/>
          <w:szCs w:val="22"/>
        </w:rPr>
        <w:t xml:space="preserve"> (House Extensions and Ancillary Accommodation)</w:t>
      </w:r>
    </w:p>
    <w:p w:rsidR="006E13AE" w:rsidRPr="00FF3B1B" w:rsidRDefault="006E13AE" w:rsidP="006E13AE">
      <w:pPr>
        <w:jc w:val="both"/>
        <w:rPr>
          <w:bCs/>
          <w:sz w:val="22"/>
          <w:szCs w:val="22"/>
          <w:lang w:eastAsia="en-GB"/>
        </w:rPr>
      </w:pPr>
    </w:p>
    <w:p w:rsidR="006E13AE" w:rsidRPr="00FF3B1B" w:rsidRDefault="006E13AE" w:rsidP="006E13AE">
      <w:pPr>
        <w:ind w:left="720"/>
        <w:jc w:val="both"/>
        <w:rPr>
          <w:b/>
          <w:bCs/>
          <w:sz w:val="22"/>
          <w:szCs w:val="22"/>
          <w:u w:val="single"/>
          <w:lang w:eastAsia="en-GB"/>
        </w:rPr>
      </w:pPr>
      <w:r w:rsidRPr="00FF3B1B">
        <w:rPr>
          <w:b/>
          <w:bCs/>
          <w:sz w:val="22"/>
          <w:szCs w:val="22"/>
          <w:u w:val="single"/>
          <w:lang w:eastAsia="en-GB"/>
        </w:rPr>
        <w:t>SPG/SPD</w:t>
      </w:r>
    </w:p>
    <w:p w:rsidR="006E13AE" w:rsidRPr="00FF3B1B" w:rsidRDefault="006E13AE" w:rsidP="006E13AE">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6E13AE" w:rsidRPr="00FF3B1B" w:rsidRDefault="006E13AE">
      <w:pPr>
        <w:jc w:val="both"/>
        <w:rPr>
          <w:b/>
          <w:bCs/>
          <w:sz w:val="22"/>
          <w:szCs w:val="22"/>
        </w:rPr>
      </w:pPr>
    </w:p>
    <w:p w:rsidR="006E13AE" w:rsidRPr="00FF3B1B" w:rsidRDefault="006E13AE">
      <w:pPr>
        <w:jc w:val="both"/>
        <w:rPr>
          <w:b/>
          <w:bCs/>
          <w:sz w:val="22"/>
          <w:szCs w:val="22"/>
        </w:rPr>
      </w:pPr>
      <w:r w:rsidRPr="00FF3B1B">
        <w:rPr>
          <w:b/>
          <w:bCs/>
          <w:sz w:val="22"/>
          <w:szCs w:val="22"/>
        </w:rPr>
        <w:t>6.</w:t>
      </w:r>
      <w:r w:rsidRPr="00FF3B1B">
        <w:rPr>
          <w:b/>
          <w:bCs/>
          <w:sz w:val="22"/>
          <w:szCs w:val="22"/>
        </w:rPr>
        <w:tab/>
        <w:t>APPRAISAL</w:t>
      </w:r>
    </w:p>
    <w:p w:rsidR="006E13AE" w:rsidRDefault="006E13AE" w:rsidP="006E13AE">
      <w:pPr>
        <w:rPr>
          <w:sz w:val="22"/>
          <w:szCs w:val="22"/>
          <w:lang w:eastAsia="en-GB"/>
        </w:rPr>
      </w:pPr>
    </w:p>
    <w:p w:rsidR="006E13AE" w:rsidRPr="00356D64" w:rsidRDefault="006E13AE" w:rsidP="006E13AE">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E13AE" w:rsidRPr="00356D64" w:rsidRDefault="006E13AE" w:rsidP="006E13AE">
      <w:pPr>
        <w:rPr>
          <w:sz w:val="22"/>
          <w:szCs w:val="22"/>
          <w:lang w:eastAsia="en-GB"/>
        </w:rPr>
      </w:pPr>
    </w:p>
    <w:p w:rsidR="006E13AE" w:rsidRPr="00356D64" w:rsidRDefault="006E13AE" w:rsidP="006E13AE">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E13AE" w:rsidRPr="00356D64" w:rsidRDefault="006E13AE" w:rsidP="006E13AE">
      <w:pPr>
        <w:ind w:left="720"/>
        <w:rPr>
          <w:sz w:val="22"/>
          <w:szCs w:val="22"/>
          <w:lang w:eastAsia="en-GB"/>
        </w:rPr>
      </w:pPr>
    </w:p>
    <w:p w:rsidR="006E13AE" w:rsidRPr="00356D64" w:rsidRDefault="006E13AE" w:rsidP="006E13AE">
      <w:pPr>
        <w:ind w:left="720"/>
        <w:rPr>
          <w:sz w:val="22"/>
          <w:szCs w:val="22"/>
          <w:lang w:eastAsia="en-GB"/>
        </w:rPr>
      </w:pPr>
      <w:r w:rsidRPr="00356D64">
        <w:rPr>
          <w:sz w:val="22"/>
          <w:szCs w:val="22"/>
          <w:lang w:eastAsia="en-GB"/>
        </w:rPr>
        <w:t>To assess this, the following has been considered – would the proposal:</w:t>
      </w:r>
    </w:p>
    <w:p w:rsidR="006E13AE" w:rsidRPr="00F67DF2" w:rsidRDefault="006E13AE" w:rsidP="006E13AE">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F67DF2">
        <w:rPr>
          <w:b/>
          <w:sz w:val="22"/>
          <w:szCs w:val="22"/>
          <w:lang w:eastAsia="en-GB"/>
        </w:rPr>
        <w:t>NO</w:t>
      </w:r>
      <w:r w:rsidR="00F67DF2" w:rsidRPr="00F67DF2">
        <w:rPr>
          <w:b/>
          <w:sz w:val="22"/>
          <w:szCs w:val="22"/>
          <w:lang w:eastAsia="en-GB"/>
        </w:rPr>
        <w:t xml:space="preserve">, the size and footprint of the original dwelling is increased but the size of the extension has been considered by the PO to  still be subservient to the original dwelling. </w:t>
      </w:r>
    </w:p>
    <w:p w:rsidR="006E13AE" w:rsidRPr="00356D64" w:rsidRDefault="006E13AE" w:rsidP="006E13A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6E13AE" w:rsidRPr="00356D64" w:rsidRDefault="006E13AE" w:rsidP="006E13A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6E13AE" w:rsidRPr="00356D64" w:rsidRDefault="006E13AE" w:rsidP="006E13AE">
      <w:pPr>
        <w:ind w:left="360"/>
        <w:rPr>
          <w:i/>
          <w:sz w:val="22"/>
          <w:szCs w:val="22"/>
          <w:lang w:eastAsia="en-GB"/>
        </w:rPr>
      </w:pPr>
    </w:p>
    <w:p w:rsidR="006E13AE" w:rsidRPr="00356D64" w:rsidRDefault="006E13AE" w:rsidP="006E13AE">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E13AE" w:rsidRPr="00356D64" w:rsidRDefault="006E13AE" w:rsidP="006E13AE">
      <w:pPr>
        <w:ind w:left="567"/>
        <w:contextualSpacing/>
        <w:rPr>
          <w:sz w:val="22"/>
          <w:szCs w:val="22"/>
          <w:u w:val="single"/>
          <w:lang w:eastAsia="en-GB"/>
        </w:rPr>
      </w:pPr>
    </w:p>
    <w:p w:rsidR="006E13AE" w:rsidRPr="00356D64" w:rsidRDefault="006E13AE" w:rsidP="006E13AE">
      <w:pPr>
        <w:ind w:left="720"/>
        <w:rPr>
          <w:sz w:val="22"/>
          <w:szCs w:val="22"/>
          <w:lang w:eastAsia="en-GB"/>
        </w:rPr>
      </w:pPr>
      <w:r w:rsidRPr="00356D64">
        <w:rPr>
          <w:sz w:val="22"/>
          <w:szCs w:val="22"/>
          <w:lang w:eastAsia="en-GB"/>
        </w:rPr>
        <w:t>To assess this, the following has been considered – would the proposal:</w:t>
      </w:r>
    </w:p>
    <w:p w:rsidR="006E13AE" w:rsidRPr="00EF24E6" w:rsidRDefault="006E13AE" w:rsidP="006E13AE">
      <w:pPr>
        <w:numPr>
          <w:ilvl w:val="0"/>
          <w:numId w:val="30"/>
        </w:numPr>
        <w:overflowPunct/>
        <w:adjustRightInd/>
        <w:contextualSpacing/>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EF24E6">
        <w:rPr>
          <w:b/>
          <w:sz w:val="22"/>
          <w:szCs w:val="22"/>
          <w:lang w:eastAsia="en-GB"/>
        </w:rPr>
        <w:t>NO</w:t>
      </w:r>
      <w:r w:rsidR="00F67DF2" w:rsidRPr="00EF24E6">
        <w:rPr>
          <w:b/>
          <w:sz w:val="22"/>
          <w:szCs w:val="22"/>
          <w:lang w:eastAsia="en-GB"/>
        </w:rPr>
        <w:t>, the 45 degree rule</w:t>
      </w:r>
      <w:r w:rsidR="00EF24E6" w:rsidRPr="00EF24E6">
        <w:rPr>
          <w:b/>
          <w:sz w:val="22"/>
          <w:szCs w:val="22"/>
          <w:lang w:eastAsia="en-GB"/>
        </w:rPr>
        <w:t xml:space="preserve"> has been used by the applicant to show that there is no loss of light on both sides of the proposal, caused by the extension as proposed.</w:t>
      </w:r>
    </w:p>
    <w:p w:rsidR="006E13AE" w:rsidRPr="00EF24E6" w:rsidRDefault="006E13AE" w:rsidP="006E13AE">
      <w:pPr>
        <w:numPr>
          <w:ilvl w:val="0"/>
          <w:numId w:val="30"/>
        </w:numPr>
        <w:overflowPunct/>
        <w:adjustRightInd/>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EF24E6">
        <w:rPr>
          <w:b/>
          <w:sz w:val="22"/>
          <w:szCs w:val="22"/>
          <w:lang w:eastAsia="en-GB"/>
        </w:rPr>
        <w:t>NO</w:t>
      </w:r>
      <w:r w:rsidR="00EF24E6" w:rsidRPr="00EF24E6">
        <w:rPr>
          <w:b/>
          <w:sz w:val="22"/>
          <w:szCs w:val="22"/>
          <w:lang w:eastAsia="en-GB"/>
        </w:rPr>
        <w:t>, there are no windows to the sides of the extension.</w:t>
      </w:r>
    </w:p>
    <w:p w:rsidR="006E13AE" w:rsidRPr="00356D64" w:rsidRDefault="006E13AE" w:rsidP="006E13AE">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6E13AE" w:rsidRPr="00356D64" w:rsidRDefault="006E13AE" w:rsidP="006E13AE">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6E13AE" w:rsidRPr="00356D64" w:rsidRDefault="006E13AE" w:rsidP="006E13AE">
      <w:pPr>
        <w:ind w:left="720"/>
        <w:contextualSpacing/>
        <w:rPr>
          <w:sz w:val="22"/>
          <w:szCs w:val="22"/>
          <w:lang w:eastAsia="en-GB"/>
        </w:rPr>
      </w:pPr>
    </w:p>
    <w:p w:rsidR="006E13AE" w:rsidRDefault="006E13AE" w:rsidP="006E13AE">
      <w:pPr>
        <w:jc w:val="both"/>
        <w:rPr>
          <w:color w:val="000000"/>
          <w:sz w:val="22"/>
          <w:szCs w:val="22"/>
          <w:lang w:eastAsia="en-GB"/>
        </w:rPr>
      </w:pPr>
    </w:p>
    <w:p w:rsidR="006E13AE" w:rsidRPr="00E51E4E" w:rsidRDefault="006E13AE" w:rsidP="006E13AE">
      <w:pPr>
        <w:overflowPunct/>
        <w:adjustRightInd/>
        <w:ind w:left="720"/>
        <w:jc w:val="both"/>
        <w:textAlignment w:val="auto"/>
        <w:rPr>
          <w:color w:val="000000"/>
          <w:sz w:val="22"/>
          <w:szCs w:val="22"/>
          <w:lang w:eastAsia="en-GB"/>
        </w:rPr>
      </w:pPr>
      <w:r w:rsidRPr="00E51E4E">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6E13AE" w:rsidRPr="00E51E4E" w:rsidRDefault="006E13AE" w:rsidP="006E13AE">
      <w:pPr>
        <w:overflowPunct/>
        <w:adjustRightInd/>
        <w:ind w:left="720"/>
        <w:jc w:val="both"/>
        <w:textAlignment w:val="auto"/>
        <w:rPr>
          <w:color w:val="000000"/>
          <w:sz w:val="22"/>
          <w:szCs w:val="22"/>
          <w:lang w:eastAsia="en-GB"/>
        </w:rPr>
      </w:pPr>
    </w:p>
    <w:p w:rsidR="006E13AE" w:rsidRPr="00E51E4E" w:rsidRDefault="006E13AE" w:rsidP="006E13AE">
      <w:pPr>
        <w:overflowPunct/>
        <w:adjustRightInd/>
        <w:ind w:left="720"/>
        <w:jc w:val="both"/>
        <w:textAlignment w:val="auto"/>
        <w:rPr>
          <w:color w:val="000000"/>
          <w:sz w:val="22"/>
          <w:szCs w:val="22"/>
          <w:lang w:eastAsia="en-GB"/>
        </w:rPr>
      </w:pPr>
      <w:r w:rsidRPr="00E51E4E">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6E13AE" w:rsidRPr="00B253FF" w:rsidRDefault="006E13AE" w:rsidP="006E13AE">
      <w:pPr>
        <w:overflowPunct/>
        <w:adjustRightInd/>
        <w:jc w:val="both"/>
        <w:textAlignment w:val="auto"/>
        <w:rPr>
          <w:color w:val="000000"/>
          <w:szCs w:val="24"/>
          <w:lang w:eastAsia="en-GB"/>
        </w:rPr>
      </w:pPr>
    </w:p>
    <w:p w:rsidR="006E13AE" w:rsidRPr="00B253FF" w:rsidRDefault="006E13AE" w:rsidP="006E13AE">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6E13AE" w:rsidRPr="00B253FF" w:rsidRDefault="006E13AE" w:rsidP="006E13A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6E13AE" w:rsidRPr="00B253FF" w:rsidRDefault="006E13AE" w:rsidP="006E13A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6E13AE" w:rsidRPr="00B253FF"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lastRenderedPageBreak/>
        <w:t xml:space="preserve">Noise and disturbance; </w:t>
      </w:r>
    </w:p>
    <w:p w:rsidR="006E13AE" w:rsidRPr="00B253FF"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6E13AE" w:rsidRPr="00B253FF"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6E13AE"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6E13AE"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6E13AE" w:rsidRPr="00B253FF" w:rsidRDefault="006E13AE" w:rsidP="006E13A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6E13AE" w:rsidRPr="00356D64" w:rsidRDefault="006E13AE" w:rsidP="006E13AE">
      <w:pPr>
        <w:jc w:val="both"/>
        <w:rPr>
          <w:color w:val="000000"/>
          <w:sz w:val="22"/>
          <w:szCs w:val="22"/>
          <w:lang w:eastAsia="en-GB"/>
        </w:rPr>
      </w:pPr>
    </w:p>
    <w:p w:rsidR="006E13AE" w:rsidRDefault="006E13AE" w:rsidP="006E13A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E13AE" w:rsidRPr="0087373B" w:rsidRDefault="006E13AE" w:rsidP="006E13AE">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E13AE" w:rsidRPr="00356D64" w:rsidRDefault="006E13AE" w:rsidP="006E13AE">
      <w:pPr>
        <w:ind w:hanging="11"/>
        <w:jc w:val="both"/>
        <w:rPr>
          <w:rFonts w:cs="Trebuchet MS"/>
          <w:sz w:val="22"/>
          <w:szCs w:val="22"/>
          <w:u w:val="single"/>
          <w:lang w:eastAsia="en-GB"/>
        </w:rPr>
      </w:pPr>
    </w:p>
    <w:p w:rsidR="006E13AE" w:rsidRPr="00FF3B1B" w:rsidRDefault="006E13AE">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6E13AE" w:rsidRPr="00C47D36" w:rsidRDefault="00C47D36" w:rsidP="00C47D36">
      <w:pPr>
        <w:ind w:left="731" w:hanging="11"/>
        <w:jc w:val="both"/>
        <w:rPr>
          <w:rFonts w:cs="Trebuchet MS"/>
          <w:sz w:val="22"/>
          <w:szCs w:val="22"/>
          <w:lang w:eastAsia="en-GB"/>
        </w:rPr>
      </w:pPr>
      <w:r w:rsidRPr="00C47D36">
        <w:rPr>
          <w:rFonts w:cs="Trebuchet MS"/>
          <w:sz w:val="22"/>
          <w:szCs w:val="22"/>
          <w:lang w:eastAsia="en-GB"/>
        </w:rPr>
        <w:t>Grant</w:t>
      </w:r>
    </w:p>
    <w:sectPr w:rsidR="006E13AE" w:rsidRPr="00C47D3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BD3" w:rsidRDefault="00D95BD3">
      <w:r>
        <w:separator/>
      </w:r>
    </w:p>
  </w:endnote>
  <w:endnote w:type="continuationSeparator" w:id="0">
    <w:p w:rsidR="00D95BD3" w:rsidRDefault="00D95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wiss721BT-LightExtended">
    <w:panose1 w:val="00000000000000000000"/>
    <w:charset w:val="00"/>
    <w:family w:val="script"/>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BD3" w:rsidRDefault="00D95BD3">
      <w:r>
        <w:separator/>
      </w:r>
    </w:p>
  </w:footnote>
  <w:footnote w:type="continuationSeparator" w:id="0">
    <w:p w:rsidR="00D95BD3" w:rsidRDefault="00D95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DF2" w:rsidRDefault="00F67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73AB1"/>
    <w:multiLevelType w:val="hybridMultilevel"/>
    <w:tmpl w:val="1478A57A"/>
    <w:lvl w:ilvl="0" w:tplc="25D25D7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7732"/>
    <w:rsid w:val="00186EB9"/>
    <w:rsid w:val="00296FB3"/>
    <w:rsid w:val="00336FAA"/>
    <w:rsid w:val="00572884"/>
    <w:rsid w:val="005F1C77"/>
    <w:rsid w:val="00657F09"/>
    <w:rsid w:val="006E13AE"/>
    <w:rsid w:val="00743540"/>
    <w:rsid w:val="00854481"/>
    <w:rsid w:val="00A06E54"/>
    <w:rsid w:val="00AA0B33"/>
    <w:rsid w:val="00AF42D6"/>
    <w:rsid w:val="00B95216"/>
    <w:rsid w:val="00BA76A0"/>
    <w:rsid w:val="00C30D06"/>
    <w:rsid w:val="00C47D36"/>
    <w:rsid w:val="00C8546D"/>
    <w:rsid w:val="00D05DA6"/>
    <w:rsid w:val="00D62F38"/>
    <w:rsid w:val="00D95BD3"/>
    <w:rsid w:val="00E51E4E"/>
    <w:rsid w:val="00E64A50"/>
    <w:rsid w:val="00EF24E6"/>
    <w:rsid w:val="00F67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AA18DE90-212C-4281-8103-14BDFA33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2022-05-05T09:44:00Z</dcterms:created>
  <dcterms:modified xsi:type="dcterms:W3CDTF">2022-05-05T09:44:00Z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