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702" w:rsidRPr="00FF3B1B" w:rsidRDefault="00C66702">
      <w:pPr>
        <w:pStyle w:val="BodyText"/>
        <w:tabs>
          <w:tab w:val="left" w:pos="2552"/>
        </w:tabs>
        <w:ind w:left="2552" w:hanging="2552"/>
        <w:jc w:val="both"/>
        <w:rPr>
          <w:rFonts w:ascii="Trebuchet MS" w:hAnsi="Trebuchet MS"/>
          <w:b w:val="0"/>
          <w:sz w:val="22"/>
          <w:szCs w:val="22"/>
        </w:rPr>
      </w:pPr>
      <w:bookmarkStart w:id="0" w:name="_GoBack"/>
      <w:bookmarkEnd w:id="0"/>
    </w:p>
    <w:p w:rsidR="00C66702" w:rsidRPr="00FF3B1B" w:rsidRDefault="00C66702" w:rsidP="00CD58B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C66702" w:rsidRPr="00FF3B1B" w:rsidRDefault="00C66702">
      <w:pPr>
        <w:pStyle w:val="BodyText"/>
        <w:tabs>
          <w:tab w:val="left" w:pos="2552"/>
        </w:tabs>
        <w:ind w:left="2552" w:hanging="2552"/>
        <w:jc w:val="both"/>
        <w:rPr>
          <w:rFonts w:ascii="Trebuchet MS" w:hAnsi="Trebuchet MS"/>
          <w:sz w:val="22"/>
          <w:szCs w:val="22"/>
        </w:rPr>
      </w:pPr>
    </w:p>
    <w:p w:rsidR="00C66702" w:rsidRPr="00FF3B1B" w:rsidRDefault="00C66702" w:rsidP="00CD58B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Mapledurham</w:t>
      </w:r>
    </w:p>
    <w:p w:rsidR="00C66702" w:rsidRPr="00FF3B1B" w:rsidRDefault="00C66702" w:rsidP="00CD58B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212048</w:t>
      </w:r>
      <w:r w:rsidRPr="00FF3B1B">
        <w:rPr>
          <w:rFonts w:ascii="Trebuchet MS" w:hAnsi="Trebuchet MS"/>
          <w:b w:val="0"/>
          <w:sz w:val="22"/>
          <w:szCs w:val="22"/>
        </w:rPr>
        <w:t>/</w:t>
      </w:r>
      <w:r w:rsidRPr="00FF3B1B">
        <w:rPr>
          <w:rFonts w:ascii="Trebuchet MS" w:hAnsi="Trebuchet MS"/>
          <w:sz w:val="22"/>
          <w:szCs w:val="22"/>
        </w:rPr>
        <w:t>HOU</w:t>
      </w:r>
    </w:p>
    <w:p w:rsidR="00C66702" w:rsidRPr="00FF3B1B" w:rsidRDefault="00C66702" w:rsidP="00CD58B3">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Donaldswood, Upper Warren Avenue, Caversham, Reading, RG4 7EJ</w:t>
      </w:r>
    </w:p>
    <w:p w:rsidR="00C66702" w:rsidRPr="00FF3B1B" w:rsidRDefault="00C66702" w:rsidP="00CD58B3">
      <w:pPr>
        <w:ind w:left="720"/>
        <w:rPr>
          <w:sz w:val="22"/>
          <w:szCs w:val="22"/>
        </w:rPr>
      </w:pPr>
      <w:r w:rsidRPr="00FF3B1B">
        <w:rPr>
          <w:b/>
          <w:sz w:val="22"/>
          <w:szCs w:val="22"/>
        </w:rPr>
        <w:t>Proposals</w:t>
      </w:r>
      <w:r w:rsidRPr="00FF3B1B">
        <w:rPr>
          <w:sz w:val="22"/>
          <w:szCs w:val="22"/>
        </w:rPr>
        <w:t xml:space="preserve">: </w:t>
      </w:r>
      <w:r>
        <w:rPr>
          <w:rFonts w:cs="Trebuchet MS"/>
          <w:sz w:val="22"/>
          <w:szCs w:val="22"/>
        </w:rPr>
        <w:t>First floor rear extension.</w:t>
      </w:r>
    </w:p>
    <w:p w:rsidR="00C66702" w:rsidRPr="00FF3B1B" w:rsidRDefault="00C66702" w:rsidP="00CD58B3">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C66702" w:rsidRPr="00FF3B1B" w:rsidRDefault="00C66702" w:rsidP="00CD58B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J Cassidy</w:t>
      </w:r>
    </w:p>
    <w:p w:rsidR="00CD58B3" w:rsidRDefault="00C66702" w:rsidP="00CD58B3">
      <w:pPr>
        <w:pStyle w:val="BodyText"/>
        <w:ind w:left="720"/>
        <w:jc w:val="both"/>
        <w:rPr>
          <w:rFonts w:ascii="Trebuchet MS" w:hAnsi="Trebuchet MS"/>
          <w:sz w:val="22"/>
          <w:szCs w:val="22"/>
        </w:rPr>
      </w:pPr>
      <w:r w:rsidRPr="00FF3B1B">
        <w:rPr>
          <w:rFonts w:ascii="Trebuchet MS" w:hAnsi="Trebuchet MS"/>
          <w:sz w:val="22"/>
          <w:szCs w:val="22"/>
        </w:rPr>
        <w:t>Date received (valid from): 19 December 2021</w:t>
      </w:r>
      <w:r>
        <w:rPr>
          <w:rFonts w:ascii="Trebuchet MS" w:hAnsi="Trebuchet MS"/>
          <w:sz w:val="22"/>
          <w:szCs w:val="22"/>
        </w:rPr>
        <w:t xml:space="preserve">      </w:t>
      </w:r>
    </w:p>
    <w:p w:rsidR="00C66702" w:rsidRPr="00FF3B1B" w:rsidRDefault="00C66702" w:rsidP="00CD58B3">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DF7B93">
        <w:rPr>
          <w:rFonts w:ascii="Trebuchet MS" w:hAnsi="Trebuchet MS" w:cs="Trebuchet MS"/>
          <w:noProof/>
          <w:sz w:val="22"/>
          <w:szCs w:val="22"/>
        </w:rPr>
        <w:t>28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C66702" w:rsidRPr="00FF3B1B" w:rsidRDefault="00C66702">
      <w:pPr>
        <w:pStyle w:val="BodyText"/>
        <w:tabs>
          <w:tab w:val="left" w:pos="2552"/>
        </w:tabs>
        <w:ind w:left="2552" w:hanging="2552"/>
        <w:jc w:val="both"/>
        <w:rPr>
          <w:rFonts w:ascii="Trebuchet MS" w:hAnsi="Trebuchet MS"/>
          <w:b w:val="0"/>
          <w:sz w:val="22"/>
          <w:szCs w:val="22"/>
        </w:rPr>
      </w:pPr>
    </w:p>
    <w:p w:rsidR="00C66702" w:rsidRPr="00FF3B1B" w:rsidRDefault="00C66702">
      <w:pPr>
        <w:jc w:val="both"/>
        <w:rPr>
          <w:b/>
          <w:bCs/>
          <w:sz w:val="22"/>
          <w:szCs w:val="22"/>
        </w:rPr>
      </w:pPr>
      <w:r w:rsidRPr="00FF3B1B">
        <w:rPr>
          <w:b/>
          <w:bCs/>
          <w:sz w:val="22"/>
          <w:szCs w:val="22"/>
        </w:rPr>
        <w:t>1.</w:t>
      </w:r>
      <w:r w:rsidRPr="00FF3B1B">
        <w:rPr>
          <w:b/>
          <w:bCs/>
          <w:sz w:val="22"/>
          <w:szCs w:val="22"/>
        </w:rPr>
        <w:tab/>
        <w:t>INTRODUCTION</w:t>
      </w:r>
    </w:p>
    <w:p w:rsidR="00C66702" w:rsidRDefault="001B2A9E" w:rsidP="001B2A9E">
      <w:pPr>
        <w:ind w:left="720"/>
        <w:jc w:val="both"/>
        <w:rPr>
          <w:sz w:val="22"/>
          <w:szCs w:val="22"/>
        </w:rPr>
      </w:pPr>
      <w:r>
        <w:rPr>
          <w:sz w:val="22"/>
          <w:szCs w:val="22"/>
        </w:rPr>
        <w:t>This site is located North of the intersection of Graveney Drive and Upper Warren Avenue. It is a detached two storey dwelling siting on a plot of approximately 1600sqm, with neighbouring properties to the two sides and none near to the rear. The view to the rear is shielded by large mature trees, with thick leafy covers.</w:t>
      </w:r>
    </w:p>
    <w:p w:rsidR="00266672" w:rsidRPr="00FF3B1B" w:rsidRDefault="002E3039" w:rsidP="001B2A9E">
      <w:pPr>
        <w:ind w:left="720"/>
        <w:jc w:val="both"/>
        <w:rPr>
          <w:sz w:val="22"/>
          <w:szCs w:val="22"/>
        </w:rPr>
      </w:pPr>
      <w:r w:rsidRPr="00814E79">
        <w:rPr>
          <w:noProof/>
          <w:lang w:eastAsia="en-GB"/>
        </w:rPr>
        <w:drawing>
          <wp:inline distT="0" distB="0" distL="0" distR="0">
            <wp:extent cx="1793875" cy="1956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3875" cy="1956435"/>
                    </a:xfrm>
                    <a:prstGeom prst="rect">
                      <a:avLst/>
                    </a:prstGeom>
                    <a:noFill/>
                    <a:ln>
                      <a:noFill/>
                    </a:ln>
                  </pic:spPr>
                </pic:pic>
              </a:graphicData>
            </a:graphic>
          </wp:inline>
        </w:drawing>
      </w:r>
      <w:r w:rsidR="00266672">
        <w:rPr>
          <w:noProof/>
          <w:lang w:eastAsia="en-GB"/>
        </w:rPr>
        <w:t xml:space="preserve">                      </w:t>
      </w:r>
      <w:r w:rsidRPr="00814E79">
        <w:rPr>
          <w:noProof/>
          <w:lang w:eastAsia="en-GB"/>
        </w:rPr>
        <w:drawing>
          <wp:inline distT="0" distB="0" distL="0" distR="0">
            <wp:extent cx="2731770" cy="19329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1770" cy="1932940"/>
                    </a:xfrm>
                    <a:prstGeom prst="rect">
                      <a:avLst/>
                    </a:prstGeom>
                    <a:noFill/>
                    <a:ln>
                      <a:noFill/>
                    </a:ln>
                  </pic:spPr>
                </pic:pic>
              </a:graphicData>
            </a:graphic>
          </wp:inline>
        </w:drawing>
      </w:r>
    </w:p>
    <w:p w:rsidR="00C66702" w:rsidRPr="00FF3B1B" w:rsidRDefault="00C66702">
      <w:pPr>
        <w:jc w:val="both"/>
        <w:rPr>
          <w:b/>
          <w:bCs/>
          <w:sz w:val="22"/>
          <w:szCs w:val="22"/>
        </w:rPr>
      </w:pPr>
    </w:p>
    <w:p w:rsidR="00C66702" w:rsidRPr="00FF3B1B" w:rsidRDefault="00C66702">
      <w:pPr>
        <w:jc w:val="both"/>
        <w:rPr>
          <w:b/>
          <w:bCs/>
          <w:sz w:val="22"/>
          <w:szCs w:val="22"/>
        </w:rPr>
      </w:pPr>
      <w:r w:rsidRPr="00FF3B1B">
        <w:rPr>
          <w:b/>
          <w:bCs/>
          <w:sz w:val="22"/>
          <w:szCs w:val="22"/>
        </w:rPr>
        <w:t>2.</w:t>
      </w:r>
      <w:r w:rsidRPr="00FF3B1B">
        <w:rPr>
          <w:b/>
          <w:bCs/>
          <w:sz w:val="22"/>
          <w:szCs w:val="22"/>
        </w:rPr>
        <w:tab/>
        <w:t>PROPOSAL AND SUPPORTING INFORMATION</w:t>
      </w:r>
    </w:p>
    <w:p w:rsidR="00C66702" w:rsidRPr="00FF3B1B" w:rsidRDefault="00C66702">
      <w:pPr>
        <w:pStyle w:val="BodyText"/>
        <w:jc w:val="both"/>
        <w:rPr>
          <w:rFonts w:ascii="Trebuchet MS" w:hAnsi="Trebuchet MS"/>
          <w:sz w:val="22"/>
          <w:szCs w:val="22"/>
        </w:rPr>
      </w:pPr>
    </w:p>
    <w:p w:rsidR="00C66702" w:rsidRPr="00FF3B1B" w:rsidRDefault="001B2A9E" w:rsidP="001B2A9E">
      <w:pPr>
        <w:ind w:left="720"/>
        <w:rPr>
          <w:sz w:val="22"/>
          <w:szCs w:val="22"/>
        </w:rPr>
      </w:pPr>
      <w:r>
        <w:rPr>
          <w:sz w:val="22"/>
          <w:szCs w:val="22"/>
        </w:rPr>
        <w:t xml:space="preserve">The proposal is for a first floor rear extension, measuring approximately 4.1 wide and 2.4m deep, extending upwards from the existing ground floor family room to create an extended Bedroom and Bathroom upstairs. </w:t>
      </w:r>
    </w:p>
    <w:p w:rsidR="00C66702" w:rsidRPr="00FF3B1B" w:rsidRDefault="00C66702">
      <w:pPr>
        <w:pStyle w:val="BodyText"/>
        <w:ind w:left="720" w:hanging="720"/>
        <w:jc w:val="both"/>
        <w:rPr>
          <w:rFonts w:ascii="Trebuchet MS" w:hAnsi="Trebuchet MS"/>
          <w:b w:val="0"/>
          <w:sz w:val="22"/>
          <w:szCs w:val="22"/>
        </w:rPr>
      </w:pPr>
    </w:p>
    <w:p w:rsidR="00C66702" w:rsidRDefault="00C66702" w:rsidP="00C66702">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BD265C">
        <w:rPr>
          <w:rFonts w:ascii="Trebuchet MS" w:hAnsi="Trebuchet MS"/>
          <w:b w:val="0"/>
          <w:bCs/>
          <w:sz w:val="22"/>
          <w:szCs w:val="22"/>
        </w:rPr>
        <w:t xml:space="preserve"> (Received 20</w:t>
      </w:r>
      <w:r w:rsidR="00BD265C" w:rsidRPr="00BD265C">
        <w:rPr>
          <w:rFonts w:ascii="Trebuchet MS" w:hAnsi="Trebuchet MS"/>
          <w:b w:val="0"/>
          <w:bCs/>
          <w:sz w:val="22"/>
          <w:szCs w:val="22"/>
          <w:vertAlign w:val="superscript"/>
        </w:rPr>
        <w:t>th</w:t>
      </w:r>
      <w:r w:rsidR="00BD265C">
        <w:rPr>
          <w:rFonts w:ascii="Trebuchet MS" w:hAnsi="Trebuchet MS"/>
          <w:b w:val="0"/>
          <w:bCs/>
          <w:sz w:val="22"/>
          <w:szCs w:val="22"/>
        </w:rPr>
        <w:t xml:space="preserve"> December 2021)</w:t>
      </w:r>
    </w:p>
    <w:p w:rsidR="00C66702" w:rsidRDefault="00BD265C" w:rsidP="00C66702">
      <w:pPr>
        <w:pStyle w:val="BodyText"/>
        <w:ind w:left="720"/>
        <w:jc w:val="both"/>
        <w:rPr>
          <w:rFonts w:ascii="Trebuchet MS" w:hAnsi="Trebuchet MS"/>
          <w:b w:val="0"/>
          <w:bCs/>
          <w:sz w:val="22"/>
          <w:szCs w:val="22"/>
        </w:rPr>
      </w:pPr>
      <w:r>
        <w:rPr>
          <w:rFonts w:ascii="Trebuchet MS" w:hAnsi="Trebuchet MS"/>
          <w:b w:val="0"/>
          <w:bCs/>
          <w:sz w:val="22"/>
          <w:szCs w:val="22"/>
        </w:rPr>
        <w:t>Drawing NO. 01 A : Existing Plans &amp; Elevations</w:t>
      </w:r>
    </w:p>
    <w:p w:rsidR="00BD265C" w:rsidRDefault="00BD265C" w:rsidP="00C66702">
      <w:pPr>
        <w:pStyle w:val="BodyText"/>
        <w:ind w:left="720"/>
        <w:jc w:val="both"/>
        <w:rPr>
          <w:rFonts w:ascii="Trebuchet MS" w:hAnsi="Trebuchet MS"/>
          <w:b w:val="0"/>
          <w:bCs/>
          <w:sz w:val="22"/>
          <w:szCs w:val="22"/>
        </w:rPr>
      </w:pPr>
      <w:r>
        <w:rPr>
          <w:rFonts w:ascii="Trebuchet MS" w:hAnsi="Trebuchet MS"/>
          <w:b w:val="0"/>
          <w:bCs/>
          <w:sz w:val="22"/>
          <w:szCs w:val="22"/>
        </w:rPr>
        <w:t>Drawing NO. 02 A : Proposed plans &amp; Elevations</w:t>
      </w:r>
    </w:p>
    <w:p w:rsidR="00C716AE" w:rsidRDefault="00C716AE" w:rsidP="00C66702">
      <w:pPr>
        <w:pStyle w:val="BodyText"/>
        <w:ind w:left="720"/>
        <w:jc w:val="both"/>
        <w:rPr>
          <w:rFonts w:ascii="Trebuchet MS" w:hAnsi="Trebuchet MS"/>
          <w:b w:val="0"/>
          <w:bCs/>
          <w:sz w:val="22"/>
          <w:szCs w:val="22"/>
        </w:rPr>
      </w:pPr>
    </w:p>
    <w:p w:rsidR="00C716AE" w:rsidRPr="00FF3B1B" w:rsidRDefault="00C716AE" w:rsidP="00C66702">
      <w:pPr>
        <w:pStyle w:val="BodyText"/>
        <w:ind w:left="720"/>
        <w:jc w:val="both"/>
        <w:rPr>
          <w:rFonts w:ascii="Trebuchet MS" w:hAnsi="Trebuchet MS"/>
          <w:b w:val="0"/>
          <w:sz w:val="22"/>
          <w:szCs w:val="22"/>
        </w:rPr>
      </w:pPr>
      <w:r>
        <w:rPr>
          <w:rFonts w:ascii="Trebuchet MS" w:hAnsi="Trebuchet MS"/>
          <w:b w:val="0"/>
          <w:sz w:val="22"/>
          <w:szCs w:val="22"/>
        </w:rPr>
        <w:t xml:space="preserve">  </w:t>
      </w:r>
      <w:r w:rsidR="002E3039" w:rsidRPr="00C716AE">
        <w:rPr>
          <w:rFonts w:ascii="Trebuchet MS" w:hAnsi="Trebuchet MS"/>
          <w:b w:val="0"/>
          <w:noProof/>
          <w:sz w:val="22"/>
          <w:szCs w:val="22"/>
          <w:lang w:eastAsia="en-GB"/>
        </w:rPr>
        <w:drawing>
          <wp:inline distT="0" distB="0" distL="0" distR="0">
            <wp:extent cx="2453640" cy="17246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3640" cy="1724660"/>
                    </a:xfrm>
                    <a:prstGeom prst="rect">
                      <a:avLst/>
                    </a:prstGeom>
                    <a:noFill/>
                    <a:ln>
                      <a:noFill/>
                    </a:ln>
                  </pic:spPr>
                </pic:pic>
              </a:graphicData>
            </a:graphic>
          </wp:inline>
        </w:drawing>
      </w:r>
      <w:r>
        <w:rPr>
          <w:rFonts w:ascii="Trebuchet MS" w:hAnsi="Trebuchet MS"/>
          <w:b w:val="0"/>
          <w:sz w:val="22"/>
          <w:szCs w:val="22"/>
        </w:rPr>
        <w:t xml:space="preserve">     </w:t>
      </w:r>
      <w:r w:rsidR="002E3039" w:rsidRPr="00C716AE">
        <w:rPr>
          <w:rFonts w:ascii="Trebuchet MS" w:hAnsi="Trebuchet MS"/>
          <w:b w:val="0"/>
          <w:noProof/>
          <w:sz w:val="22"/>
          <w:szCs w:val="22"/>
          <w:lang w:eastAsia="en-GB"/>
        </w:rPr>
        <w:drawing>
          <wp:inline distT="0" distB="0" distL="0" distR="0">
            <wp:extent cx="2349500" cy="16897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9500" cy="1689735"/>
                    </a:xfrm>
                    <a:prstGeom prst="rect">
                      <a:avLst/>
                    </a:prstGeom>
                    <a:noFill/>
                    <a:ln>
                      <a:noFill/>
                    </a:ln>
                  </pic:spPr>
                </pic:pic>
              </a:graphicData>
            </a:graphic>
          </wp:inline>
        </w:drawing>
      </w:r>
    </w:p>
    <w:p w:rsidR="00C66702" w:rsidRPr="00FF3B1B" w:rsidRDefault="00C66702">
      <w:pPr>
        <w:pStyle w:val="BodyText"/>
        <w:ind w:left="720" w:hanging="720"/>
        <w:jc w:val="both"/>
        <w:rPr>
          <w:rFonts w:ascii="Trebuchet MS" w:hAnsi="Trebuchet MS"/>
          <w:b w:val="0"/>
          <w:sz w:val="22"/>
          <w:szCs w:val="22"/>
        </w:rPr>
      </w:pPr>
    </w:p>
    <w:p w:rsidR="00C66702" w:rsidRPr="00FF3B1B" w:rsidRDefault="00C66702">
      <w:pPr>
        <w:numPr>
          <w:ilvl w:val="0"/>
          <w:numId w:val="24"/>
        </w:numPr>
        <w:ind w:hanging="720"/>
        <w:jc w:val="both"/>
        <w:rPr>
          <w:b/>
          <w:bCs/>
          <w:sz w:val="22"/>
          <w:szCs w:val="22"/>
        </w:rPr>
      </w:pPr>
      <w:r w:rsidRPr="00FF3B1B">
        <w:rPr>
          <w:b/>
          <w:bCs/>
          <w:sz w:val="22"/>
          <w:szCs w:val="22"/>
        </w:rPr>
        <w:t xml:space="preserve">RELEVANT PLANNING HISTORY </w:t>
      </w:r>
    </w:p>
    <w:p w:rsidR="00C66702" w:rsidRPr="00FF3B1B" w:rsidRDefault="00C66702" w:rsidP="00C66702">
      <w:pPr>
        <w:jc w:val="both"/>
        <w:rPr>
          <w:b/>
          <w:bCs/>
          <w:sz w:val="22"/>
          <w:szCs w:val="22"/>
        </w:rPr>
      </w:pPr>
    </w:p>
    <w:p w:rsidR="00C66702" w:rsidRPr="004D4304" w:rsidRDefault="00C66702" w:rsidP="00C66702">
      <w:pPr>
        <w:jc w:val="both"/>
        <w:rPr>
          <w:bCs/>
          <w:sz w:val="22"/>
          <w:szCs w:val="22"/>
        </w:rPr>
      </w:pPr>
      <w:r>
        <w:rPr>
          <w:b/>
          <w:bCs/>
          <w:sz w:val="22"/>
          <w:szCs w:val="22"/>
        </w:rPr>
        <w:tab/>
      </w:r>
      <w:r w:rsidR="00BD265C">
        <w:rPr>
          <w:bCs/>
          <w:sz w:val="22"/>
          <w:szCs w:val="22"/>
        </w:rPr>
        <w:t>None</w:t>
      </w:r>
    </w:p>
    <w:p w:rsidR="00C66702" w:rsidRPr="00FF3B1B" w:rsidRDefault="00C66702" w:rsidP="00C66702">
      <w:pPr>
        <w:jc w:val="both"/>
        <w:rPr>
          <w:b/>
          <w:bCs/>
          <w:sz w:val="22"/>
          <w:szCs w:val="22"/>
        </w:rPr>
      </w:pPr>
    </w:p>
    <w:p w:rsidR="00C66702" w:rsidRPr="00FF3B1B" w:rsidRDefault="00C66702">
      <w:pPr>
        <w:jc w:val="both"/>
        <w:rPr>
          <w:b/>
          <w:bCs/>
          <w:sz w:val="22"/>
          <w:szCs w:val="22"/>
        </w:rPr>
      </w:pPr>
      <w:r w:rsidRPr="00FF3B1B">
        <w:rPr>
          <w:b/>
          <w:bCs/>
          <w:sz w:val="22"/>
          <w:szCs w:val="22"/>
        </w:rPr>
        <w:t>4.</w:t>
      </w:r>
      <w:r w:rsidRPr="00FF3B1B">
        <w:rPr>
          <w:b/>
          <w:bCs/>
          <w:sz w:val="22"/>
          <w:szCs w:val="22"/>
        </w:rPr>
        <w:tab/>
        <w:t>CONSULTATIONS</w:t>
      </w:r>
    </w:p>
    <w:p w:rsidR="00C66702" w:rsidRPr="00FF3B1B" w:rsidRDefault="00C66702">
      <w:pPr>
        <w:jc w:val="both"/>
        <w:rPr>
          <w:b/>
          <w:bCs/>
          <w:sz w:val="22"/>
          <w:szCs w:val="22"/>
        </w:rPr>
      </w:pPr>
    </w:p>
    <w:p w:rsidR="00C66702" w:rsidRDefault="00C66702">
      <w:pPr>
        <w:jc w:val="both"/>
        <w:rPr>
          <w:sz w:val="22"/>
          <w:szCs w:val="22"/>
        </w:rPr>
      </w:pPr>
      <w:r w:rsidRPr="00FF3B1B">
        <w:rPr>
          <w:sz w:val="22"/>
          <w:szCs w:val="22"/>
        </w:rPr>
        <w:lastRenderedPageBreak/>
        <w:t>4.</w:t>
      </w:r>
      <w:r>
        <w:rPr>
          <w:sz w:val="22"/>
          <w:szCs w:val="22"/>
        </w:rPr>
        <w:t>1</w:t>
      </w:r>
      <w:r w:rsidRPr="00FF3B1B">
        <w:rPr>
          <w:b/>
          <w:sz w:val="22"/>
          <w:szCs w:val="22"/>
        </w:rPr>
        <w:tab/>
      </w:r>
      <w:r w:rsidRPr="00FF3B1B">
        <w:rPr>
          <w:sz w:val="22"/>
          <w:szCs w:val="22"/>
        </w:rPr>
        <w:t>The following addresses were consulted by letter.</w:t>
      </w:r>
    </w:p>
    <w:p w:rsidR="00C66702" w:rsidRPr="00FF3B1B" w:rsidRDefault="00C66702">
      <w:pPr>
        <w:jc w:val="both"/>
        <w:rPr>
          <w:b/>
          <w:sz w:val="22"/>
          <w:szCs w:val="22"/>
        </w:rPr>
      </w:pPr>
    </w:p>
    <w:p w:rsidR="00C66702" w:rsidRPr="00FF3B1B" w:rsidRDefault="00C66702" w:rsidP="00C66702">
      <w:pPr>
        <w:ind w:firstLine="720"/>
        <w:rPr>
          <w:sz w:val="22"/>
          <w:szCs w:val="22"/>
        </w:rPr>
      </w:pPr>
      <w:r w:rsidRPr="00FF3B1B">
        <w:rPr>
          <w:sz w:val="22"/>
          <w:szCs w:val="22"/>
        </w:rPr>
        <w:t>5 Mapledene, Caversham, Reading, Berkshire, RG4 7DQ</w:t>
      </w:r>
    </w:p>
    <w:p w:rsidR="00C66702" w:rsidRPr="00FF3B1B" w:rsidRDefault="00C66702" w:rsidP="00C66702">
      <w:pPr>
        <w:ind w:firstLine="720"/>
        <w:rPr>
          <w:sz w:val="22"/>
          <w:szCs w:val="22"/>
        </w:rPr>
      </w:pPr>
      <w:r>
        <w:rPr>
          <w:sz w:val="22"/>
          <w:szCs w:val="22"/>
        </w:rPr>
        <w:t>4 Mapledene, Caversham, Reading, RG4 7DQ</w:t>
      </w:r>
    </w:p>
    <w:p w:rsidR="00C66702" w:rsidRPr="00FF3B1B" w:rsidRDefault="00C66702" w:rsidP="00C66702">
      <w:pPr>
        <w:ind w:firstLine="720"/>
        <w:rPr>
          <w:sz w:val="22"/>
          <w:szCs w:val="22"/>
        </w:rPr>
      </w:pPr>
      <w:r w:rsidRPr="00FF3B1B">
        <w:rPr>
          <w:sz w:val="22"/>
          <w:szCs w:val="22"/>
        </w:rPr>
        <w:t>Quarry House, 3 Mapledene, Caversham, Reading, RG4 7DQ</w:t>
      </w:r>
    </w:p>
    <w:p w:rsidR="00C66702" w:rsidRPr="00FF3B1B" w:rsidRDefault="00C66702" w:rsidP="00C66702">
      <w:pPr>
        <w:ind w:firstLine="720"/>
        <w:rPr>
          <w:sz w:val="22"/>
          <w:szCs w:val="22"/>
        </w:rPr>
      </w:pPr>
      <w:r w:rsidRPr="00FF3B1B">
        <w:rPr>
          <w:sz w:val="22"/>
          <w:szCs w:val="22"/>
        </w:rPr>
        <w:t>5 Graveney Drive, Caversham, RG4 7EG</w:t>
      </w:r>
    </w:p>
    <w:p w:rsidR="00C66702" w:rsidRDefault="00C66702" w:rsidP="00C66702">
      <w:pPr>
        <w:ind w:firstLine="720"/>
        <w:rPr>
          <w:sz w:val="22"/>
          <w:szCs w:val="22"/>
        </w:rPr>
      </w:pPr>
      <w:r w:rsidRPr="00FF3B1B">
        <w:rPr>
          <w:sz w:val="22"/>
          <w:szCs w:val="22"/>
        </w:rPr>
        <w:t>10a Upper Warren Avenue, Caversham, Reading</w:t>
      </w:r>
    </w:p>
    <w:p w:rsidR="00C66702" w:rsidRPr="00FF3B1B" w:rsidRDefault="00C66702" w:rsidP="00C66702">
      <w:pPr>
        <w:ind w:firstLine="720"/>
        <w:rPr>
          <w:sz w:val="22"/>
          <w:szCs w:val="22"/>
        </w:rPr>
      </w:pPr>
      <w:r>
        <w:rPr>
          <w:sz w:val="22"/>
          <w:szCs w:val="22"/>
        </w:rPr>
        <w:t>8A Upper Warren Avenue, Caversham, Reading</w:t>
      </w:r>
    </w:p>
    <w:p w:rsidR="00C66702" w:rsidRPr="00FF3B1B" w:rsidRDefault="00C66702">
      <w:pPr>
        <w:ind w:left="720" w:hanging="720"/>
        <w:jc w:val="both"/>
        <w:rPr>
          <w:sz w:val="22"/>
          <w:szCs w:val="22"/>
        </w:rPr>
      </w:pPr>
    </w:p>
    <w:p w:rsidR="00C66702" w:rsidRDefault="00C66702" w:rsidP="00BD265C">
      <w:pPr>
        <w:ind w:left="720" w:hanging="720"/>
        <w:jc w:val="both"/>
        <w:rPr>
          <w:sz w:val="22"/>
          <w:szCs w:val="22"/>
        </w:rPr>
      </w:pPr>
      <w:r w:rsidRPr="00FF3B1B">
        <w:rPr>
          <w:sz w:val="22"/>
          <w:szCs w:val="22"/>
        </w:rPr>
        <w:t>4.</w:t>
      </w:r>
      <w:r>
        <w:rPr>
          <w:sz w:val="22"/>
          <w:szCs w:val="22"/>
        </w:rPr>
        <w:t>2</w:t>
      </w:r>
      <w:r w:rsidR="00BD265C">
        <w:rPr>
          <w:sz w:val="22"/>
          <w:szCs w:val="22"/>
        </w:rPr>
        <w:tab/>
        <w:t>RBC ecology were consulted and a BAT Report was advised. The agent subsequently submitted a BAT Report which RBC Ecology confirmed to be acceptable and confirmed that no Bat habitats were present and no danger to bats were presented by the application.</w:t>
      </w:r>
    </w:p>
    <w:p w:rsidR="00BD265C" w:rsidRDefault="00BD265C" w:rsidP="00BD265C">
      <w:pPr>
        <w:ind w:left="1440" w:hanging="720"/>
        <w:jc w:val="both"/>
        <w:rPr>
          <w:sz w:val="22"/>
          <w:szCs w:val="22"/>
        </w:rPr>
      </w:pPr>
    </w:p>
    <w:p w:rsidR="00BD265C" w:rsidRDefault="00BD265C" w:rsidP="00BD265C">
      <w:pPr>
        <w:ind w:left="1440" w:hanging="720"/>
        <w:jc w:val="both"/>
        <w:rPr>
          <w:sz w:val="22"/>
          <w:szCs w:val="22"/>
        </w:rPr>
      </w:pPr>
      <w:r>
        <w:rPr>
          <w:sz w:val="22"/>
          <w:szCs w:val="22"/>
        </w:rPr>
        <w:t xml:space="preserve">Natural Environment were consulted and their advice included the </w:t>
      </w:r>
      <w:r w:rsidR="00F422E4">
        <w:rPr>
          <w:sz w:val="22"/>
          <w:szCs w:val="22"/>
        </w:rPr>
        <w:t>following:</w:t>
      </w:r>
    </w:p>
    <w:p w:rsidR="00BD265C" w:rsidRPr="00F422E4" w:rsidRDefault="00BD265C" w:rsidP="00BD265C">
      <w:pPr>
        <w:pStyle w:val="BodyText"/>
        <w:ind w:left="720"/>
        <w:rPr>
          <w:b w:val="0"/>
          <w:bCs/>
          <w:i/>
        </w:rPr>
      </w:pPr>
      <w:r w:rsidRPr="00F422E4">
        <w:rPr>
          <w:b w:val="0"/>
          <w:bCs/>
          <w:i/>
        </w:rPr>
        <w:t>Please also attach Informatives I15 (amended) and I24 to clearly indicate the importance of trees:</w:t>
      </w:r>
    </w:p>
    <w:p w:rsidR="00BD265C" w:rsidRPr="00F422E4" w:rsidRDefault="00BD265C" w:rsidP="00BD265C">
      <w:pPr>
        <w:ind w:left="720"/>
        <w:rPr>
          <w:rFonts w:cs="Arial"/>
          <w:i/>
          <w:szCs w:val="22"/>
        </w:rPr>
      </w:pPr>
      <w:r w:rsidRPr="00F422E4">
        <w:rPr>
          <w:rFonts w:cs="Arial"/>
          <w:i/>
          <w:szCs w:val="22"/>
        </w:rPr>
        <w:t>I15</w:t>
      </w:r>
      <w:r w:rsidRPr="00F422E4">
        <w:rPr>
          <w:rFonts w:cs="Arial"/>
          <w:i/>
          <w:szCs w:val="22"/>
        </w:rPr>
        <w:tab/>
        <w:t>Advice about TPO.d trees</w:t>
      </w:r>
    </w:p>
    <w:p w:rsidR="00BD265C" w:rsidRPr="00F422E4" w:rsidRDefault="00BD265C" w:rsidP="00BD265C">
      <w:pPr>
        <w:pStyle w:val="BodyText"/>
        <w:ind w:left="720"/>
        <w:rPr>
          <w:rFonts w:ascii="Trebuchet MS" w:hAnsi="Trebuchet MS"/>
          <w:b w:val="0"/>
          <w:i/>
          <w:szCs w:val="22"/>
        </w:rPr>
      </w:pPr>
      <w:r w:rsidRPr="00F422E4">
        <w:rPr>
          <w:rFonts w:ascii="Trebuchet MS" w:hAnsi="Trebuchet MS"/>
          <w:b w:val="0"/>
          <w:i/>
          <w:szCs w:val="22"/>
        </w:rPr>
        <w:t>You are advised that no tree works are approved by virtue of this consent.  Any works to trees subject to a Tree Preservation Order will require submission of a tree works application.</w:t>
      </w:r>
    </w:p>
    <w:p w:rsidR="00BD265C" w:rsidRPr="00F422E4" w:rsidRDefault="00BD265C" w:rsidP="00BD265C">
      <w:pPr>
        <w:ind w:left="720"/>
        <w:rPr>
          <w:rFonts w:cs="Arial"/>
          <w:i/>
          <w:szCs w:val="22"/>
        </w:rPr>
      </w:pPr>
      <w:r w:rsidRPr="00F422E4">
        <w:rPr>
          <w:rFonts w:cs="Arial"/>
          <w:i/>
          <w:szCs w:val="22"/>
        </w:rPr>
        <w:t>I24</w:t>
      </w:r>
      <w:r w:rsidRPr="00F422E4">
        <w:rPr>
          <w:rFonts w:cs="Arial"/>
          <w:i/>
          <w:szCs w:val="22"/>
        </w:rPr>
        <w:tab/>
        <w:t xml:space="preserve">Do not damage the verge </w:t>
      </w:r>
    </w:p>
    <w:p w:rsidR="00BD265C" w:rsidRPr="00BD265C" w:rsidRDefault="00BD265C" w:rsidP="00BD265C">
      <w:pPr>
        <w:pStyle w:val="BodyText"/>
        <w:ind w:left="720"/>
        <w:rPr>
          <w:bCs/>
          <w:i/>
        </w:rPr>
      </w:pPr>
      <w:r w:rsidRPr="00F422E4">
        <w:rPr>
          <w:rFonts w:ascii="Trebuchet MS" w:hAnsi="Trebuchet MS"/>
          <w:b w:val="0"/>
          <w:i/>
          <w:szCs w:val="22"/>
        </w:rPr>
        <w:t>You are advised to avoid the use of the grass verges for development related activity, e.g. storage of materials, due to the resulting potential harm to important street trees</w:t>
      </w:r>
      <w:r w:rsidRPr="00BD265C">
        <w:rPr>
          <w:rFonts w:ascii="Trebuchet MS" w:hAnsi="Trebuchet MS"/>
          <w:i/>
          <w:szCs w:val="22"/>
        </w:rPr>
        <w:t>.</w:t>
      </w:r>
    </w:p>
    <w:p w:rsidR="00BD265C" w:rsidRDefault="00BD265C" w:rsidP="00BD265C">
      <w:pPr>
        <w:ind w:left="720" w:hanging="720"/>
        <w:jc w:val="both"/>
        <w:rPr>
          <w:sz w:val="22"/>
          <w:szCs w:val="22"/>
        </w:rPr>
      </w:pPr>
    </w:p>
    <w:p w:rsidR="00C66702" w:rsidRDefault="00C66702" w:rsidP="00C66702">
      <w:pPr>
        <w:jc w:val="both"/>
        <w:rPr>
          <w:sz w:val="22"/>
          <w:szCs w:val="22"/>
        </w:rPr>
      </w:pPr>
    </w:p>
    <w:p w:rsidR="00C66702" w:rsidRPr="00CD58B3" w:rsidRDefault="00C66702" w:rsidP="00CD58B3">
      <w:pPr>
        <w:overflowPunct/>
        <w:adjustRightInd/>
        <w:ind w:left="720"/>
        <w:jc w:val="both"/>
        <w:textAlignment w:val="auto"/>
        <w:rPr>
          <w:rFonts w:cs="Arial"/>
          <w:b/>
          <w:bCs/>
          <w:color w:val="000000"/>
          <w:sz w:val="22"/>
          <w:szCs w:val="22"/>
          <w:lang w:eastAsia="en-GB"/>
        </w:rPr>
      </w:pPr>
      <w:r w:rsidRPr="00CD58B3">
        <w:rPr>
          <w:rFonts w:cs="Arial"/>
          <w:b/>
          <w:bCs/>
          <w:color w:val="000000"/>
          <w:sz w:val="22"/>
          <w:szCs w:val="22"/>
          <w:lang w:eastAsia="en-GB"/>
        </w:rPr>
        <w:t>Equality Act 2010:</w:t>
      </w:r>
    </w:p>
    <w:p w:rsidR="00C66702" w:rsidRPr="002B4A87" w:rsidRDefault="00C66702" w:rsidP="00CD58B3">
      <w:pPr>
        <w:overflowPunct/>
        <w:adjustRightInd/>
        <w:ind w:left="720"/>
        <w:jc w:val="both"/>
        <w:textAlignment w:val="auto"/>
        <w:rPr>
          <w:rFonts w:cs="Arial"/>
          <w:bCs/>
          <w:color w:val="000000"/>
          <w:szCs w:val="24"/>
          <w:lang w:eastAsia="en-GB"/>
        </w:rPr>
      </w:pPr>
      <w:r w:rsidRPr="00CD58B3">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66702" w:rsidRPr="00FF3B1B" w:rsidRDefault="00C66702">
      <w:pPr>
        <w:ind w:left="720" w:hanging="720"/>
        <w:jc w:val="both"/>
        <w:rPr>
          <w:sz w:val="22"/>
          <w:szCs w:val="22"/>
        </w:rPr>
      </w:pPr>
    </w:p>
    <w:p w:rsidR="00C66702" w:rsidRPr="00FF3B1B" w:rsidRDefault="00CD58B3" w:rsidP="00C66702">
      <w:pPr>
        <w:numPr>
          <w:ilvl w:val="0"/>
          <w:numId w:val="29"/>
        </w:numPr>
        <w:jc w:val="both"/>
        <w:rPr>
          <w:b/>
          <w:bCs/>
          <w:sz w:val="22"/>
          <w:szCs w:val="22"/>
          <w:lang w:eastAsia="en-GB"/>
        </w:rPr>
      </w:pPr>
      <w:r>
        <w:rPr>
          <w:b/>
          <w:bCs/>
          <w:sz w:val="22"/>
          <w:szCs w:val="22"/>
          <w:lang w:eastAsia="en-GB"/>
        </w:rPr>
        <w:t xml:space="preserve">     </w:t>
      </w:r>
      <w:r w:rsidR="00C66702" w:rsidRPr="00FF3B1B">
        <w:rPr>
          <w:b/>
          <w:bCs/>
          <w:sz w:val="22"/>
          <w:szCs w:val="22"/>
          <w:lang w:eastAsia="en-GB"/>
        </w:rPr>
        <w:t>LEGAL AND PLANNING POLICY CONTEXT</w:t>
      </w:r>
    </w:p>
    <w:p w:rsidR="00C66702" w:rsidRPr="00FF3B1B" w:rsidRDefault="00C66702" w:rsidP="00C66702">
      <w:pPr>
        <w:ind w:left="720"/>
        <w:jc w:val="both"/>
        <w:rPr>
          <w:bCs/>
          <w:sz w:val="22"/>
          <w:szCs w:val="22"/>
          <w:lang w:eastAsia="en-GB"/>
        </w:rPr>
      </w:pPr>
    </w:p>
    <w:p w:rsidR="00C66702" w:rsidRPr="00FF3B1B" w:rsidRDefault="00C66702" w:rsidP="00CD58B3">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C66702" w:rsidRPr="00FF3B1B" w:rsidRDefault="00C66702" w:rsidP="00C66702">
      <w:pPr>
        <w:jc w:val="both"/>
        <w:rPr>
          <w:b/>
          <w:bCs/>
          <w:sz w:val="22"/>
          <w:szCs w:val="22"/>
          <w:lang w:eastAsia="en-GB"/>
        </w:rPr>
      </w:pPr>
    </w:p>
    <w:p w:rsidR="00C66702" w:rsidRPr="00FF3B1B" w:rsidRDefault="00C66702" w:rsidP="00CD58B3">
      <w:pPr>
        <w:ind w:left="720"/>
        <w:jc w:val="both"/>
        <w:rPr>
          <w:b/>
          <w:bCs/>
          <w:sz w:val="22"/>
          <w:szCs w:val="22"/>
          <w:u w:val="single"/>
          <w:lang w:eastAsia="en-GB"/>
        </w:rPr>
      </w:pPr>
      <w:r w:rsidRPr="00FF3B1B">
        <w:rPr>
          <w:b/>
          <w:bCs/>
          <w:sz w:val="22"/>
          <w:szCs w:val="22"/>
          <w:u w:val="single"/>
          <w:lang w:eastAsia="en-GB"/>
        </w:rPr>
        <w:t>National Policy</w:t>
      </w:r>
    </w:p>
    <w:p w:rsidR="00C66702" w:rsidRPr="00FF3B1B" w:rsidRDefault="00C66702" w:rsidP="00CD58B3">
      <w:pPr>
        <w:ind w:left="720"/>
        <w:jc w:val="both"/>
        <w:rPr>
          <w:bCs/>
          <w:sz w:val="22"/>
          <w:szCs w:val="22"/>
          <w:lang w:eastAsia="en-GB"/>
        </w:rPr>
      </w:pPr>
      <w:r w:rsidRPr="00FF3B1B">
        <w:rPr>
          <w:bCs/>
          <w:sz w:val="22"/>
          <w:szCs w:val="22"/>
          <w:lang w:eastAsia="en-GB"/>
        </w:rPr>
        <w:t xml:space="preserve">National Planning Policy Framework </w:t>
      </w:r>
    </w:p>
    <w:p w:rsidR="00C66702" w:rsidRPr="00FF3B1B" w:rsidRDefault="00C66702" w:rsidP="00CD58B3">
      <w:pPr>
        <w:ind w:left="720"/>
        <w:jc w:val="both"/>
        <w:rPr>
          <w:bCs/>
          <w:sz w:val="22"/>
          <w:szCs w:val="22"/>
          <w:lang w:eastAsia="en-GB"/>
        </w:rPr>
      </w:pPr>
      <w:r w:rsidRPr="00FF3B1B">
        <w:rPr>
          <w:bCs/>
          <w:sz w:val="22"/>
          <w:szCs w:val="22"/>
          <w:lang w:eastAsia="en-GB"/>
        </w:rPr>
        <w:t>National Planning Practice Guidance</w:t>
      </w:r>
    </w:p>
    <w:p w:rsidR="00C66702" w:rsidRDefault="00C66702" w:rsidP="00CD58B3">
      <w:pPr>
        <w:ind w:left="720"/>
        <w:jc w:val="both"/>
        <w:rPr>
          <w:bCs/>
          <w:sz w:val="22"/>
          <w:szCs w:val="22"/>
          <w:lang w:eastAsia="en-GB"/>
        </w:rPr>
      </w:pPr>
    </w:p>
    <w:p w:rsidR="00C66702" w:rsidRPr="00FF3B1B" w:rsidRDefault="00C66702" w:rsidP="00CD58B3">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C66702" w:rsidRPr="00917B3D" w:rsidRDefault="00C66702" w:rsidP="00CD58B3">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C66702" w:rsidRPr="00917B3D" w:rsidRDefault="00C66702" w:rsidP="00CD58B3">
      <w:pPr>
        <w:ind w:left="720"/>
        <w:jc w:val="both"/>
        <w:rPr>
          <w:bCs/>
          <w:sz w:val="22"/>
          <w:szCs w:val="22"/>
        </w:rPr>
      </w:pPr>
      <w:r>
        <w:rPr>
          <w:bCs/>
          <w:sz w:val="22"/>
          <w:szCs w:val="22"/>
        </w:rPr>
        <w:t>CC8</w:t>
      </w:r>
      <w:r w:rsidRPr="00917B3D">
        <w:rPr>
          <w:bCs/>
          <w:sz w:val="22"/>
          <w:szCs w:val="22"/>
        </w:rPr>
        <w:t xml:space="preserve"> (Safeguarding Amenity) </w:t>
      </w:r>
    </w:p>
    <w:p w:rsidR="00C66702" w:rsidRPr="00917B3D" w:rsidRDefault="00C66702" w:rsidP="00CD58B3">
      <w:pPr>
        <w:ind w:left="720"/>
        <w:jc w:val="both"/>
        <w:rPr>
          <w:bCs/>
          <w:sz w:val="22"/>
          <w:szCs w:val="22"/>
        </w:rPr>
      </w:pPr>
      <w:r>
        <w:rPr>
          <w:bCs/>
          <w:sz w:val="22"/>
          <w:szCs w:val="22"/>
        </w:rPr>
        <w:t>H9</w:t>
      </w:r>
      <w:r w:rsidRPr="00917B3D">
        <w:rPr>
          <w:bCs/>
          <w:sz w:val="22"/>
          <w:szCs w:val="22"/>
        </w:rPr>
        <w:t xml:space="preserve"> (House Extensions and Ancillary Accommodation)</w:t>
      </w:r>
    </w:p>
    <w:p w:rsidR="00C66702" w:rsidRPr="00FF3B1B" w:rsidRDefault="00C66702" w:rsidP="00C66702">
      <w:pPr>
        <w:jc w:val="both"/>
        <w:rPr>
          <w:bCs/>
          <w:sz w:val="22"/>
          <w:szCs w:val="22"/>
          <w:lang w:eastAsia="en-GB"/>
        </w:rPr>
      </w:pPr>
    </w:p>
    <w:p w:rsidR="00C66702" w:rsidRPr="00FF3B1B" w:rsidRDefault="00C66702" w:rsidP="00CD58B3">
      <w:pPr>
        <w:ind w:left="720"/>
        <w:jc w:val="both"/>
        <w:rPr>
          <w:b/>
          <w:bCs/>
          <w:sz w:val="22"/>
          <w:szCs w:val="22"/>
          <w:u w:val="single"/>
          <w:lang w:eastAsia="en-GB"/>
        </w:rPr>
      </w:pPr>
      <w:r w:rsidRPr="00FF3B1B">
        <w:rPr>
          <w:b/>
          <w:bCs/>
          <w:sz w:val="22"/>
          <w:szCs w:val="22"/>
          <w:u w:val="single"/>
          <w:lang w:eastAsia="en-GB"/>
        </w:rPr>
        <w:t>SPG/SPD</w:t>
      </w:r>
    </w:p>
    <w:p w:rsidR="00C66702" w:rsidRPr="00FF3B1B" w:rsidRDefault="00C66702" w:rsidP="00CD58B3">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C66702" w:rsidRPr="00FF3B1B" w:rsidRDefault="00C66702">
      <w:pPr>
        <w:jc w:val="both"/>
        <w:rPr>
          <w:b/>
          <w:bCs/>
          <w:sz w:val="22"/>
          <w:szCs w:val="22"/>
        </w:rPr>
      </w:pPr>
    </w:p>
    <w:p w:rsidR="00C66702" w:rsidRPr="00FF3B1B" w:rsidRDefault="00C66702">
      <w:pPr>
        <w:jc w:val="both"/>
        <w:rPr>
          <w:b/>
          <w:bCs/>
          <w:sz w:val="22"/>
          <w:szCs w:val="22"/>
        </w:rPr>
      </w:pPr>
      <w:r w:rsidRPr="00FF3B1B">
        <w:rPr>
          <w:b/>
          <w:bCs/>
          <w:sz w:val="22"/>
          <w:szCs w:val="22"/>
        </w:rPr>
        <w:t>6.</w:t>
      </w:r>
      <w:r w:rsidRPr="00FF3B1B">
        <w:rPr>
          <w:b/>
          <w:bCs/>
          <w:sz w:val="22"/>
          <w:szCs w:val="22"/>
        </w:rPr>
        <w:tab/>
        <w:t>APPRAISAL</w:t>
      </w:r>
    </w:p>
    <w:p w:rsidR="00C66702" w:rsidRDefault="00C66702" w:rsidP="00C66702">
      <w:pPr>
        <w:rPr>
          <w:sz w:val="22"/>
          <w:szCs w:val="22"/>
          <w:lang w:eastAsia="en-GB"/>
        </w:rPr>
      </w:pPr>
    </w:p>
    <w:p w:rsidR="00C66702" w:rsidRPr="00356D64" w:rsidRDefault="00C66702" w:rsidP="00CD58B3">
      <w:pPr>
        <w:ind w:left="720"/>
        <w:rPr>
          <w:sz w:val="22"/>
          <w:szCs w:val="22"/>
          <w:lang w:eastAsia="en-GB"/>
        </w:rPr>
      </w:pPr>
      <w:r>
        <w:rPr>
          <w:sz w:val="22"/>
          <w:szCs w:val="22"/>
          <w:lang w:eastAsia="en-GB"/>
        </w:rPr>
        <w:lastRenderedPageBreak/>
        <w:t>H9</w:t>
      </w:r>
      <w:r w:rsidRPr="00356D64">
        <w:rPr>
          <w:sz w:val="22"/>
          <w:szCs w:val="22"/>
          <w:lang w:eastAsia="en-GB"/>
        </w:rPr>
        <w:t xml:space="preserve"> states: An extension to a house will be acceptable where it:</w:t>
      </w:r>
    </w:p>
    <w:p w:rsidR="00C66702" w:rsidRPr="00356D64" w:rsidRDefault="00C66702" w:rsidP="00C66702">
      <w:pPr>
        <w:rPr>
          <w:sz w:val="22"/>
          <w:szCs w:val="22"/>
          <w:lang w:eastAsia="en-GB"/>
        </w:rPr>
      </w:pPr>
    </w:p>
    <w:p w:rsidR="00C66702" w:rsidRPr="00356D64" w:rsidRDefault="00C66702" w:rsidP="00CD58B3">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C66702" w:rsidRPr="00356D64" w:rsidRDefault="00C66702" w:rsidP="00C66702">
      <w:pPr>
        <w:ind w:left="720"/>
        <w:rPr>
          <w:sz w:val="22"/>
          <w:szCs w:val="22"/>
          <w:lang w:eastAsia="en-GB"/>
        </w:rPr>
      </w:pPr>
    </w:p>
    <w:p w:rsidR="00C66702" w:rsidRPr="00356D64" w:rsidRDefault="00C66702" w:rsidP="00CD58B3">
      <w:pPr>
        <w:ind w:left="720"/>
        <w:rPr>
          <w:sz w:val="22"/>
          <w:szCs w:val="22"/>
          <w:lang w:eastAsia="en-GB"/>
        </w:rPr>
      </w:pPr>
      <w:r w:rsidRPr="00356D64">
        <w:rPr>
          <w:sz w:val="22"/>
          <w:szCs w:val="22"/>
          <w:lang w:eastAsia="en-GB"/>
        </w:rPr>
        <w:t>To assess this, the following has been considered – would the proposal:</w:t>
      </w:r>
    </w:p>
    <w:p w:rsidR="00C66702" w:rsidRPr="00F422E4" w:rsidRDefault="00C66702" w:rsidP="00C66702">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F422E4">
        <w:rPr>
          <w:b/>
          <w:sz w:val="22"/>
          <w:szCs w:val="22"/>
          <w:lang w:eastAsia="en-GB"/>
        </w:rPr>
        <w:t>NO</w:t>
      </w:r>
      <w:r w:rsidR="00F422E4" w:rsidRPr="00F422E4">
        <w:rPr>
          <w:b/>
          <w:sz w:val="22"/>
          <w:szCs w:val="22"/>
          <w:lang w:eastAsia="en-GB"/>
        </w:rPr>
        <w:t>, the extension is to the rear and is only an upward extension on the existing ground floor space.</w:t>
      </w:r>
    </w:p>
    <w:p w:rsidR="00C66702" w:rsidRPr="00356D64" w:rsidRDefault="00C66702" w:rsidP="00C66702">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56D64">
        <w:rPr>
          <w:sz w:val="22"/>
          <w:szCs w:val="22"/>
          <w:lang w:eastAsia="en-GB"/>
        </w:rPr>
        <w:t>NO</w:t>
      </w:r>
    </w:p>
    <w:p w:rsidR="00C66702" w:rsidRPr="00356D64" w:rsidRDefault="00C66702" w:rsidP="00C66702">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r w:rsidR="00F422E4">
        <w:rPr>
          <w:sz w:val="22"/>
          <w:szCs w:val="22"/>
          <w:lang w:eastAsia="en-GB"/>
        </w:rPr>
        <w:t>, there are no loss of trees to be caused by the proposal and adequate informative have been provided by the PO, on the advice of the Natural Environment Consultants, to protect the trees during works.</w:t>
      </w:r>
    </w:p>
    <w:p w:rsidR="00C66702" w:rsidRPr="00356D64" w:rsidRDefault="00C66702" w:rsidP="00C66702">
      <w:pPr>
        <w:ind w:left="360"/>
        <w:rPr>
          <w:i/>
          <w:sz w:val="22"/>
          <w:szCs w:val="22"/>
          <w:lang w:eastAsia="en-GB"/>
        </w:rPr>
      </w:pPr>
    </w:p>
    <w:p w:rsidR="00C66702" w:rsidRPr="00356D64" w:rsidRDefault="00C66702" w:rsidP="00CD58B3">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66702" w:rsidRPr="00356D64" w:rsidRDefault="00C66702" w:rsidP="00C66702">
      <w:pPr>
        <w:ind w:left="567"/>
        <w:contextualSpacing/>
        <w:rPr>
          <w:sz w:val="22"/>
          <w:szCs w:val="22"/>
          <w:u w:val="single"/>
          <w:lang w:eastAsia="en-GB"/>
        </w:rPr>
      </w:pPr>
    </w:p>
    <w:p w:rsidR="00C66702" w:rsidRPr="00356D64" w:rsidRDefault="00C66702" w:rsidP="00CD58B3">
      <w:pPr>
        <w:ind w:left="720"/>
        <w:rPr>
          <w:sz w:val="22"/>
          <w:szCs w:val="22"/>
          <w:lang w:eastAsia="en-GB"/>
        </w:rPr>
      </w:pPr>
      <w:r w:rsidRPr="00356D64">
        <w:rPr>
          <w:sz w:val="22"/>
          <w:szCs w:val="22"/>
          <w:lang w:eastAsia="en-GB"/>
        </w:rPr>
        <w:t>To assess this, the following has been considered – would the proposal:</w:t>
      </w:r>
    </w:p>
    <w:p w:rsidR="00C66702" w:rsidRPr="00356D64" w:rsidRDefault="00C66702" w:rsidP="00C66702">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D04CF0">
        <w:rPr>
          <w:b/>
          <w:sz w:val="22"/>
          <w:szCs w:val="22"/>
          <w:lang w:eastAsia="en-GB"/>
        </w:rPr>
        <w:t>NO</w:t>
      </w:r>
      <w:r w:rsidR="00F422E4" w:rsidRPr="00D04CF0">
        <w:rPr>
          <w:b/>
          <w:sz w:val="22"/>
          <w:szCs w:val="22"/>
          <w:lang w:eastAsia="en-GB"/>
        </w:rPr>
        <w:t>, the extension is not close to any boundaries.</w:t>
      </w:r>
    </w:p>
    <w:p w:rsidR="00C66702" w:rsidRPr="00D04CF0" w:rsidRDefault="00C66702" w:rsidP="00C66702">
      <w:pPr>
        <w:numPr>
          <w:ilvl w:val="0"/>
          <w:numId w:val="30"/>
        </w:numPr>
        <w:overflowPunct/>
        <w:adjustRightInd/>
        <w:contextualSpacing/>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D04CF0">
        <w:rPr>
          <w:b/>
          <w:sz w:val="22"/>
          <w:szCs w:val="22"/>
          <w:lang w:eastAsia="en-GB"/>
        </w:rPr>
        <w:t>NO</w:t>
      </w:r>
      <w:r w:rsidR="00D04CF0" w:rsidRPr="00D04CF0">
        <w:rPr>
          <w:b/>
          <w:sz w:val="22"/>
          <w:szCs w:val="22"/>
          <w:lang w:eastAsia="en-GB"/>
        </w:rPr>
        <w:t>, the line of sight to any properties from the proposed windows are adequately shielded by mature trees all around the property.</w:t>
      </w:r>
    </w:p>
    <w:p w:rsidR="00C66702" w:rsidRPr="00356D64" w:rsidRDefault="00C66702" w:rsidP="00C66702">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C66702" w:rsidRPr="00356D64" w:rsidRDefault="00C66702" w:rsidP="00C66702">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C66702" w:rsidRPr="00356D64" w:rsidRDefault="00C66702" w:rsidP="00C66702">
      <w:pPr>
        <w:ind w:left="720"/>
        <w:contextualSpacing/>
        <w:rPr>
          <w:sz w:val="22"/>
          <w:szCs w:val="22"/>
          <w:lang w:eastAsia="en-GB"/>
        </w:rPr>
      </w:pPr>
    </w:p>
    <w:p w:rsidR="00C66702" w:rsidRDefault="00C66702" w:rsidP="00C66702">
      <w:pPr>
        <w:jc w:val="both"/>
        <w:rPr>
          <w:color w:val="000000"/>
          <w:sz w:val="22"/>
          <w:szCs w:val="22"/>
          <w:lang w:eastAsia="en-GB"/>
        </w:rPr>
      </w:pPr>
    </w:p>
    <w:p w:rsidR="00C66702" w:rsidRPr="00CD58B3" w:rsidRDefault="00C66702" w:rsidP="00CD58B3">
      <w:pPr>
        <w:overflowPunct/>
        <w:adjustRightInd/>
        <w:ind w:left="720"/>
        <w:jc w:val="both"/>
        <w:textAlignment w:val="auto"/>
        <w:rPr>
          <w:color w:val="000000"/>
          <w:sz w:val="22"/>
          <w:szCs w:val="22"/>
          <w:lang w:eastAsia="en-GB"/>
        </w:rPr>
      </w:pPr>
      <w:r w:rsidRPr="00CD58B3">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C66702" w:rsidRPr="00CD58B3" w:rsidRDefault="00C66702" w:rsidP="00C66702">
      <w:pPr>
        <w:overflowPunct/>
        <w:adjustRightInd/>
        <w:jc w:val="both"/>
        <w:textAlignment w:val="auto"/>
        <w:rPr>
          <w:color w:val="000000"/>
          <w:sz w:val="22"/>
          <w:szCs w:val="22"/>
          <w:lang w:eastAsia="en-GB"/>
        </w:rPr>
      </w:pPr>
    </w:p>
    <w:p w:rsidR="00C66702" w:rsidRPr="00CD58B3" w:rsidRDefault="00C66702" w:rsidP="00CD58B3">
      <w:pPr>
        <w:overflowPunct/>
        <w:adjustRightInd/>
        <w:ind w:left="720"/>
        <w:jc w:val="both"/>
        <w:textAlignment w:val="auto"/>
        <w:rPr>
          <w:color w:val="000000"/>
          <w:sz w:val="22"/>
          <w:szCs w:val="22"/>
          <w:lang w:eastAsia="en-GB"/>
        </w:rPr>
      </w:pPr>
      <w:r w:rsidRPr="00CD58B3">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C66702" w:rsidRPr="00B253FF" w:rsidRDefault="00C66702" w:rsidP="00C66702">
      <w:pPr>
        <w:overflowPunct/>
        <w:adjustRightInd/>
        <w:jc w:val="both"/>
        <w:textAlignment w:val="auto"/>
        <w:rPr>
          <w:color w:val="000000"/>
          <w:szCs w:val="24"/>
          <w:lang w:eastAsia="en-GB"/>
        </w:rPr>
      </w:pPr>
    </w:p>
    <w:p w:rsidR="00C66702" w:rsidRPr="00B253FF" w:rsidRDefault="00C66702" w:rsidP="00C66702">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C66702" w:rsidRPr="00B253FF" w:rsidRDefault="00C66702" w:rsidP="00C66702">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C66702" w:rsidRPr="00B253FF" w:rsidRDefault="00C66702" w:rsidP="00C66702">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C66702" w:rsidRPr="00B253FF" w:rsidRDefault="00C66702" w:rsidP="00C6670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C66702" w:rsidRPr="00B253FF" w:rsidRDefault="00C66702" w:rsidP="00C6670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C66702" w:rsidRPr="00B253FF" w:rsidRDefault="00C66702" w:rsidP="00C6670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C66702" w:rsidRDefault="00C66702" w:rsidP="00C6670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C66702" w:rsidRDefault="00C66702" w:rsidP="00C6670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C66702" w:rsidRPr="00B253FF" w:rsidRDefault="00C66702" w:rsidP="00C66702">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C66702" w:rsidRPr="00356D64" w:rsidRDefault="00C66702" w:rsidP="00C66702">
      <w:pPr>
        <w:jc w:val="both"/>
        <w:rPr>
          <w:color w:val="000000"/>
          <w:sz w:val="22"/>
          <w:szCs w:val="22"/>
          <w:lang w:eastAsia="en-GB"/>
        </w:rPr>
      </w:pPr>
    </w:p>
    <w:p w:rsidR="00C66702" w:rsidRDefault="00C66702" w:rsidP="00C6670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C66702" w:rsidRPr="0087373B" w:rsidRDefault="00C66702" w:rsidP="00CD58B3">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C66702" w:rsidRPr="00356D64" w:rsidRDefault="00C66702" w:rsidP="00C66702">
      <w:pPr>
        <w:ind w:hanging="11"/>
        <w:jc w:val="both"/>
        <w:rPr>
          <w:rFonts w:cs="Trebuchet MS"/>
          <w:sz w:val="22"/>
          <w:szCs w:val="22"/>
          <w:u w:val="single"/>
          <w:lang w:eastAsia="en-GB"/>
        </w:rPr>
      </w:pPr>
    </w:p>
    <w:p w:rsidR="00C66702" w:rsidRPr="00FF3B1B" w:rsidRDefault="00CD58B3">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C66702" w:rsidRPr="00FF3B1B">
        <w:rPr>
          <w:rFonts w:ascii="Trebuchet MS" w:hAnsi="Trebuchet MS"/>
          <w:b/>
          <w:bCs/>
          <w:sz w:val="22"/>
          <w:szCs w:val="22"/>
        </w:rPr>
        <w:tab/>
        <w:t>R</w:t>
      </w:r>
      <w:r w:rsidR="00C66702">
        <w:rPr>
          <w:rFonts w:ascii="Trebuchet MS" w:hAnsi="Trebuchet MS"/>
          <w:b/>
          <w:bCs/>
          <w:sz w:val="22"/>
          <w:szCs w:val="22"/>
        </w:rPr>
        <w:t xml:space="preserve">ECOMMENDATION </w:t>
      </w:r>
      <w:r w:rsidR="00C66702" w:rsidRPr="00FF3B1B">
        <w:rPr>
          <w:rFonts w:ascii="Trebuchet MS" w:hAnsi="Trebuchet MS"/>
          <w:b/>
          <w:bCs/>
          <w:sz w:val="22"/>
          <w:szCs w:val="22"/>
        </w:rPr>
        <w:t xml:space="preserve"> </w:t>
      </w:r>
    </w:p>
    <w:p w:rsidR="00C66702" w:rsidRPr="00D04CF0" w:rsidRDefault="00D04CF0" w:rsidP="00D04CF0">
      <w:pPr>
        <w:ind w:left="731" w:hanging="11"/>
        <w:jc w:val="both"/>
        <w:rPr>
          <w:rFonts w:cs="Trebuchet MS"/>
          <w:sz w:val="22"/>
          <w:szCs w:val="22"/>
          <w:lang w:eastAsia="en-GB"/>
        </w:rPr>
      </w:pPr>
      <w:r w:rsidRPr="00D04CF0">
        <w:rPr>
          <w:rFonts w:cs="Trebuchet MS"/>
          <w:sz w:val="22"/>
          <w:szCs w:val="22"/>
          <w:lang w:eastAsia="en-GB"/>
        </w:rPr>
        <w:lastRenderedPageBreak/>
        <w:t>Grant</w:t>
      </w:r>
    </w:p>
    <w:sectPr w:rsidR="00C66702" w:rsidRPr="00D04CF0">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1E9" w:rsidRDefault="004A41E9">
      <w:r>
        <w:separator/>
      </w:r>
    </w:p>
  </w:endnote>
  <w:endnote w:type="continuationSeparator" w:id="0">
    <w:p w:rsidR="004A41E9" w:rsidRDefault="004A4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5C" w:rsidRDefault="00BD26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5C" w:rsidRDefault="00BD265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5C" w:rsidRDefault="00BD2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1E9" w:rsidRDefault="004A41E9">
      <w:r>
        <w:separator/>
      </w:r>
    </w:p>
  </w:footnote>
  <w:footnote w:type="continuationSeparator" w:id="0">
    <w:p w:rsidR="004A41E9" w:rsidRDefault="004A4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5C" w:rsidRDefault="00BD2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5C" w:rsidRDefault="00BD2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5C" w:rsidRDefault="00BD2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124D50"/>
    <w:multiLevelType w:val="hybridMultilevel"/>
    <w:tmpl w:val="6F188AF6"/>
    <w:lvl w:ilvl="0" w:tplc="943C2DB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8"/>
  </w:num>
  <w:num w:numId="24">
    <w:abstractNumId w:val="15"/>
  </w:num>
  <w:num w:numId="25">
    <w:abstractNumId w:val="12"/>
  </w:num>
  <w:num w:numId="26">
    <w:abstractNumId w:val="20"/>
  </w:num>
  <w:num w:numId="27">
    <w:abstractNumId w:val="0"/>
  </w:num>
  <w:num w:numId="28">
    <w:abstractNumId w:val="22"/>
    <w:lvlOverride w:ilvl="0"/>
  </w:num>
  <w:num w:numId="29">
    <w:abstractNumId w:val="7"/>
  </w:num>
  <w:num w:numId="30">
    <w:abstractNumId w:val="11"/>
  </w:num>
  <w:num w:numId="31">
    <w:abstractNumId w:val="29"/>
  </w:num>
  <w:num w:numId="32">
    <w:abstractNumId w:val="33"/>
  </w:num>
  <w:num w:numId="33">
    <w:abstractNumId w:val="21"/>
  </w:num>
  <w:num w:numId="34">
    <w:abstractNumId w:val="1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B2A9E"/>
    <w:rsid w:val="00251DFB"/>
    <w:rsid w:val="00266672"/>
    <w:rsid w:val="002E3039"/>
    <w:rsid w:val="004A41E9"/>
    <w:rsid w:val="00BD265C"/>
    <w:rsid w:val="00C66702"/>
    <w:rsid w:val="00C716AE"/>
    <w:rsid w:val="00CD58B3"/>
    <w:rsid w:val="00D04CF0"/>
    <w:rsid w:val="00DF7B93"/>
    <w:rsid w:val="00F42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BEA16B53-EB4F-41F6-A9C3-D38CD58B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2022-04-29T08:44:00Z</dcterms:created>
  <dcterms:modified xsi:type="dcterms:W3CDTF">2022-04-29T08:44:00Z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