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1B2" w:rsidRPr="00FF3B1B" w:rsidRDefault="006671B2" w:rsidP="006671B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671B2" w:rsidRPr="00FF3B1B" w:rsidRDefault="006671B2" w:rsidP="006671B2">
      <w:pPr>
        <w:pStyle w:val="BodyText"/>
        <w:tabs>
          <w:tab w:val="left" w:pos="2552"/>
        </w:tabs>
        <w:ind w:left="3272" w:hanging="2552"/>
        <w:jc w:val="both"/>
        <w:rPr>
          <w:rFonts w:ascii="Trebuchet MS" w:hAnsi="Trebuchet MS"/>
          <w:sz w:val="22"/>
          <w:szCs w:val="22"/>
        </w:rPr>
      </w:pPr>
    </w:p>
    <w:p w:rsidR="006671B2" w:rsidRPr="00FF3B1B" w:rsidRDefault="006671B2" w:rsidP="006671B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Ward: </w:t>
      </w:r>
      <w:r w:rsidRPr="00C27073">
        <w:rPr>
          <w:rFonts w:ascii="Trebuchet MS" w:hAnsi="Trebuchet MS"/>
          <w:b w:val="0"/>
          <w:sz w:val="22"/>
          <w:szCs w:val="22"/>
        </w:rPr>
        <w:t>Tilehurst</w:t>
      </w:r>
    </w:p>
    <w:p w:rsidR="006671B2" w:rsidRPr="00C27073" w:rsidRDefault="006671B2" w:rsidP="006671B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xml:space="preserve">: </w:t>
      </w:r>
      <w:r w:rsidRPr="00C27073">
        <w:rPr>
          <w:rFonts w:ascii="Trebuchet MS" w:hAnsi="Trebuchet MS"/>
          <w:b w:val="0"/>
          <w:sz w:val="22"/>
          <w:szCs w:val="22"/>
        </w:rPr>
        <w:t>221179/HOU</w:t>
      </w:r>
    </w:p>
    <w:p w:rsidR="006671B2" w:rsidRPr="00FF3B1B" w:rsidRDefault="006671B2" w:rsidP="006671B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114 Teviot Road, Tilehurst, Reading, RG30 4SS</w:t>
      </w:r>
    </w:p>
    <w:p w:rsidR="006671B2" w:rsidRPr="00FF3B1B" w:rsidRDefault="006671B2" w:rsidP="006671B2">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 and re-cladding</w:t>
      </w:r>
    </w:p>
    <w:p w:rsidR="006671B2" w:rsidRPr="00FF3B1B" w:rsidRDefault="006671B2" w:rsidP="006671B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671B2" w:rsidRPr="00FF3B1B" w:rsidRDefault="006671B2" w:rsidP="006671B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C27073">
        <w:rPr>
          <w:rFonts w:ascii="Trebuchet MS" w:hAnsi="Trebuchet MS" w:cs="Trebuchet MS"/>
          <w:b w:val="0"/>
          <w:sz w:val="22"/>
          <w:szCs w:val="22"/>
        </w:rPr>
        <w:t>Mr &amp; Mrs P Fletcher</w:t>
      </w:r>
    </w:p>
    <w:p w:rsidR="006671B2" w:rsidRDefault="006671B2" w:rsidP="006671B2">
      <w:pPr>
        <w:pStyle w:val="BodyText"/>
        <w:ind w:left="720"/>
        <w:jc w:val="both"/>
        <w:rPr>
          <w:rFonts w:ascii="Trebuchet MS" w:hAnsi="Trebuchet MS"/>
          <w:sz w:val="22"/>
          <w:szCs w:val="22"/>
        </w:rPr>
      </w:pPr>
      <w:r w:rsidRPr="00FF3B1B">
        <w:rPr>
          <w:rFonts w:ascii="Trebuchet MS" w:hAnsi="Trebuchet MS"/>
          <w:sz w:val="22"/>
          <w:szCs w:val="22"/>
        </w:rPr>
        <w:t xml:space="preserve">Date received (valid from): </w:t>
      </w:r>
      <w:r w:rsidRPr="00C27073">
        <w:rPr>
          <w:rFonts w:ascii="Trebuchet MS" w:hAnsi="Trebuchet MS"/>
          <w:b w:val="0"/>
          <w:sz w:val="22"/>
          <w:szCs w:val="22"/>
        </w:rPr>
        <w:t>9 August 2022</w:t>
      </w:r>
      <w:r>
        <w:rPr>
          <w:rFonts w:ascii="Trebuchet MS" w:hAnsi="Trebuchet MS"/>
          <w:sz w:val="22"/>
          <w:szCs w:val="22"/>
        </w:rPr>
        <w:t xml:space="preserve">      </w:t>
      </w:r>
    </w:p>
    <w:p w:rsidR="006671B2" w:rsidRPr="00FF3B1B" w:rsidRDefault="006671B2" w:rsidP="006671B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14E41" w:rsidRPr="00C27073">
        <w:rPr>
          <w:rFonts w:ascii="Trebuchet MS" w:hAnsi="Trebuchet MS" w:cs="Trebuchet MS"/>
          <w:b w:val="0"/>
          <w:noProof/>
          <w:sz w:val="22"/>
          <w:szCs w:val="22"/>
        </w:rPr>
        <w:t xml:space="preserve">11 </w:t>
      </w:r>
      <w:r w:rsidR="000A2B4D" w:rsidRPr="00C27073">
        <w:rPr>
          <w:rFonts w:ascii="Trebuchet MS" w:hAnsi="Trebuchet MS" w:cs="Trebuchet MS"/>
          <w:b w:val="0"/>
          <w:noProof/>
          <w:sz w:val="22"/>
          <w:szCs w:val="22"/>
        </w:rPr>
        <w:t xml:space="preserve">November </w:t>
      </w:r>
      <w:r w:rsidR="000A2B4D" w:rsidRPr="00C27073">
        <w:rPr>
          <w:rFonts w:ascii="Trebuchet MS" w:hAnsi="Trebuchet MS" w:cs="Trebuchet MS"/>
          <w:b w:val="0"/>
          <w:sz w:val="22"/>
          <w:szCs w:val="22"/>
        </w:rPr>
        <w:t>2022</w:t>
      </w:r>
      <w:r w:rsidRPr="00C27073">
        <w:rPr>
          <w:rFonts w:ascii="Trebuchet MS" w:hAnsi="Trebuchet MS"/>
          <w:b w:val="0"/>
          <w:sz w:val="22"/>
          <w:szCs w:val="22"/>
        </w:rPr>
        <w:tab/>
      </w:r>
      <w:r w:rsidR="00140751" w:rsidRPr="00C27073">
        <w:rPr>
          <w:rFonts w:ascii="Trebuchet MS" w:hAnsi="Trebuchet MS"/>
          <w:b w:val="0"/>
          <w:sz w:val="22"/>
          <w:szCs w:val="22"/>
        </w:rPr>
        <w:t>(EXT)</w:t>
      </w:r>
    </w:p>
    <w:p w:rsidR="006671B2" w:rsidRPr="00FF3B1B" w:rsidRDefault="006671B2" w:rsidP="006671B2">
      <w:pPr>
        <w:pStyle w:val="BodyText"/>
        <w:tabs>
          <w:tab w:val="left" w:pos="2552"/>
        </w:tabs>
        <w:ind w:left="3272" w:hanging="2552"/>
        <w:jc w:val="both"/>
        <w:rPr>
          <w:rFonts w:ascii="Trebuchet MS" w:hAnsi="Trebuchet MS"/>
          <w:b w:val="0"/>
          <w:sz w:val="22"/>
          <w:szCs w:val="22"/>
        </w:rPr>
      </w:pPr>
    </w:p>
    <w:p w:rsidR="006671B2" w:rsidRDefault="006671B2" w:rsidP="006671B2">
      <w:pPr>
        <w:numPr>
          <w:ilvl w:val="0"/>
          <w:numId w:val="35"/>
        </w:numPr>
        <w:jc w:val="both"/>
        <w:rPr>
          <w:b/>
          <w:bCs/>
          <w:sz w:val="22"/>
          <w:szCs w:val="22"/>
        </w:rPr>
      </w:pPr>
      <w:r>
        <w:rPr>
          <w:b/>
          <w:bCs/>
          <w:sz w:val="22"/>
          <w:szCs w:val="22"/>
        </w:rPr>
        <w:t>SITE DESCRIPTION</w:t>
      </w:r>
    </w:p>
    <w:p w:rsidR="006671B2" w:rsidRPr="00C27073" w:rsidRDefault="006671B2" w:rsidP="00D97697">
      <w:pPr>
        <w:ind w:left="720"/>
        <w:jc w:val="both"/>
        <w:rPr>
          <w:bCs/>
          <w:sz w:val="22"/>
          <w:szCs w:val="22"/>
        </w:rPr>
      </w:pPr>
      <w:r w:rsidRPr="00C27073">
        <w:rPr>
          <w:bCs/>
          <w:sz w:val="22"/>
          <w:szCs w:val="22"/>
        </w:rPr>
        <w:t xml:space="preserve">The proposal site is an end of terrace dwelling on the western side of Teviot Road, among other dwellings in Terrace styles of four to five dwellings in each terrace </w:t>
      </w:r>
      <w:r w:rsidR="00C27073">
        <w:rPr>
          <w:bCs/>
          <w:sz w:val="22"/>
          <w:szCs w:val="22"/>
        </w:rPr>
        <w:t>group</w:t>
      </w:r>
      <w:r w:rsidRPr="00C27073">
        <w:rPr>
          <w:bCs/>
          <w:sz w:val="22"/>
          <w:szCs w:val="22"/>
        </w:rPr>
        <w:t>. It is a</w:t>
      </w:r>
      <w:r w:rsidR="00D97697" w:rsidRPr="00C27073">
        <w:rPr>
          <w:bCs/>
          <w:sz w:val="22"/>
          <w:szCs w:val="22"/>
        </w:rPr>
        <w:t xml:space="preserve"> predominantly residential area characterised by terraces on both sides of the </w:t>
      </w:r>
      <w:r w:rsidR="00C27073">
        <w:rPr>
          <w:bCs/>
          <w:sz w:val="22"/>
          <w:szCs w:val="22"/>
        </w:rPr>
        <w:t xml:space="preserve">road, </w:t>
      </w:r>
      <w:r w:rsidR="00D97697" w:rsidRPr="00C27073">
        <w:rPr>
          <w:bCs/>
          <w:sz w:val="22"/>
          <w:szCs w:val="22"/>
        </w:rPr>
        <w:t>which starts and ends on two intersections with Corwen Road.</w:t>
      </w:r>
    </w:p>
    <w:p w:rsidR="00A81F1B" w:rsidRDefault="00D97697" w:rsidP="006671B2">
      <w:pPr>
        <w:ind w:left="720"/>
        <w:jc w:val="both"/>
        <w:rPr>
          <w:noProof/>
          <w:lang w:eastAsia="en-GB"/>
        </w:rPr>
      </w:pPr>
      <w:r>
        <w:rPr>
          <w:noProof/>
          <w:lang w:eastAsia="en-GB"/>
        </w:rPr>
        <w:t xml:space="preserve">     </w:t>
      </w:r>
    </w:p>
    <w:p w:rsidR="00F93116" w:rsidRPr="00F93116" w:rsidRDefault="00F93116" w:rsidP="00F93116">
      <w:pPr>
        <w:rPr>
          <w:rFonts w:ascii="Calibri" w:hAnsi="Calibri" w:cs="Calibri"/>
          <w:sz w:val="22"/>
          <w:szCs w:val="22"/>
          <w:lang w:eastAsia="en-GB"/>
        </w:rPr>
      </w:pPr>
      <w:r>
        <w:rPr>
          <w:noProof/>
          <w:lang w:eastAsia="en-GB"/>
        </w:rPr>
        <w:t xml:space="preserve">                           </w:t>
      </w:r>
      <w:r w:rsidR="002856CA" w:rsidRPr="00C27073">
        <w:rPr>
          <w:noProof/>
          <w:lang w:eastAsia="en-GB"/>
        </w:rPr>
        <w:drawing>
          <wp:inline distT="0" distB="0" distL="0" distR="0">
            <wp:extent cx="2659380" cy="1896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9380" cy="1896110"/>
                    </a:xfrm>
                    <a:prstGeom prst="rect">
                      <a:avLst/>
                    </a:prstGeom>
                    <a:noFill/>
                    <a:ln>
                      <a:noFill/>
                    </a:ln>
                  </pic:spPr>
                </pic:pic>
              </a:graphicData>
            </a:graphic>
          </wp:inline>
        </w:drawing>
      </w:r>
      <w:r w:rsidR="002856CA" w:rsidRPr="00F93116">
        <w:rPr>
          <w:rFonts w:ascii="Calibri" w:hAnsi="Calibri" w:cs="Calibri"/>
          <w:noProof/>
          <w:sz w:val="22"/>
          <w:szCs w:val="22"/>
          <w:lang w:eastAsia="en-GB"/>
        </w:rPr>
        <w:drawing>
          <wp:inline distT="0" distB="0" distL="0" distR="0">
            <wp:extent cx="1417955" cy="1896110"/>
            <wp:effectExtent l="0" t="0" r="0" b="0"/>
            <wp:docPr id="4" name="6CB6C7E1-DBD5-4AC2-9F2D-3C286B169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B6C7E1-DBD5-4AC2-9F2D-3C286B169E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7955" cy="1896110"/>
                    </a:xfrm>
                    <a:prstGeom prst="rect">
                      <a:avLst/>
                    </a:prstGeom>
                    <a:noFill/>
                    <a:ln>
                      <a:noFill/>
                    </a:ln>
                  </pic:spPr>
                </pic:pic>
              </a:graphicData>
            </a:graphic>
          </wp:inline>
        </w:drawing>
      </w:r>
    </w:p>
    <w:p w:rsidR="006671B2" w:rsidRPr="00FF3B1B" w:rsidRDefault="006671B2" w:rsidP="00F93116">
      <w:pPr>
        <w:ind w:left="720"/>
        <w:rPr>
          <w:sz w:val="22"/>
          <w:szCs w:val="22"/>
        </w:rPr>
      </w:pPr>
      <w:bookmarkStart w:id="0" w:name="_GoBack"/>
      <w:bookmarkEnd w:id="0"/>
    </w:p>
    <w:p w:rsidR="006671B2" w:rsidRPr="00FF3B1B" w:rsidRDefault="006671B2" w:rsidP="006671B2">
      <w:pPr>
        <w:ind w:firstLine="720"/>
        <w:rPr>
          <w:sz w:val="22"/>
          <w:szCs w:val="22"/>
        </w:rPr>
      </w:pPr>
    </w:p>
    <w:p w:rsidR="006671B2" w:rsidRPr="00FF3B1B" w:rsidRDefault="006671B2">
      <w:pPr>
        <w:jc w:val="both"/>
        <w:rPr>
          <w:b/>
          <w:bCs/>
          <w:sz w:val="22"/>
          <w:szCs w:val="22"/>
        </w:rPr>
      </w:pPr>
    </w:p>
    <w:p w:rsidR="006671B2" w:rsidRPr="00FF3B1B" w:rsidRDefault="006671B2">
      <w:pPr>
        <w:jc w:val="both"/>
        <w:rPr>
          <w:b/>
          <w:bCs/>
          <w:sz w:val="22"/>
          <w:szCs w:val="22"/>
        </w:rPr>
      </w:pPr>
      <w:r w:rsidRPr="00FF3B1B">
        <w:rPr>
          <w:b/>
          <w:bCs/>
          <w:sz w:val="22"/>
          <w:szCs w:val="22"/>
        </w:rPr>
        <w:t>2.</w:t>
      </w:r>
      <w:r w:rsidRPr="00FF3B1B">
        <w:rPr>
          <w:b/>
          <w:bCs/>
          <w:sz w:val="22"/>
          <w:szCs w:val="22"/>
        </w:rPr>
        <w:tab/>
        <w:t>PROPOSAL AND SUPPORTING INFORMATION</w:t>
      </w:r>
    </w:p>
    <w:p w:rsidR="006671B2" w:rsidRDefault="00D97697" w:rsidP="00D97697">
      <w:pPr>
        <w:ind w:left="720"/>
        <w:jc w:val="both"/>
        <w:rPr>
          <w:b/>
          <w:sz w:val="22"/>
          <w:szCs w:val="22"/>
        </w:rPr>
      </w:pPr>
      <w:r w:rsidRPr="00D97697">
        <w:rPr>
          <w:iCs/>
          <w:sz w:val="22"/>
          <w:szCs w:val="22"/>
        </w:rPr>
        <w:t>This application is for a single storey rear extension meas</w:t>
      </w:r>
      <w:r>
        <w:rPr>
          <w:iCs/>
          <w:sz w:val="22"/>
          <w:szCs w:val="22"/>
        </w:rPr>
        <w:t>uring 3.5m deep and 6.4m wide (</w:t>
      </w:r>
      <w:r w:rsidRPr="00D97697">
        <w:rPr>
          <w:iCs/>
          <w:sz w:val="22"/>
          <w:szCs w:val="22"/>
        </w:rPr>
        <w:t xml:space="preserve">the whole width of the existing dwelling). It also includes a change of the external finish from </w:t>
      </w:r>
      <w:r w:rsidR="000E4A33">
        <w:rPr>
          <w:iCs/>
          <w:sz w:val="22"/>
          <w:szCs w:val="22"/>
        </w:rPr>
        <w:t>pebble dash to facing bricks to the side.</w:t>
      </w:r>
      <w:r w:rsidRPr="00D97697">
        <w:rPr>
          <w:b/>
          <w:sz w:val="22"/>
          <w:szCs w:val="22"/>
        </w:rPr>
        <w:t xml:space="preserve"> </w:t>
      </w:r>
    </w:p>
    <w:p w:rsidR="000E4A33" w:rsidRDefault="000E4A33" w:rsidP="00D97697">
      <w:pPr>
        <w:ind w:left="720"/>
        <w:jc w:val="both"/>
        <w:rPr>
          <w:b/>
          <w:sz w:val="22"/>
          <w:szCs w:val="22"/>
        </w:rPr>
      </w:pPr>
    </w:p>
    <w:p w:rsidR="006671B2" w:rsidRDefault="006671B2" w:rsidP="00D9769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A0D58">
        <w:rPr>
          <w:rFonts w:ascii="Trebuchet MS" w:hAnsi="Trebuchet MS"/>
          <w:b w:val="0"/>
          <w:bCs/>
          <w:sz w:val="22"/>
          <w:szCs w:val="22"/>
        </w:rPr>
        <w:t xml:space="preserve"> received 10</w:t>
      </w:r>
      <w:r w:rsidR="009A0D58" w:rsidRPr="009A0D58">
        <w:rPr>
          <w:rFonts w:ascii="Trebuchet MS" w:hAnsi="Trebuchet MS"/>
          <w:b w:val="0"/>
          <w:bCs/>
          <w:sz w:val="22"/>
          <w:szCs w:val="22"/>
          <w:vertAlign w:val="superscript"/>
        </w:rPr>
        <w:t>th</w:t>
      </w:r>
      <w:r w:rsidR="009A0D58">
        <w:rPr>
          <w:rFonts w:ascii="Trebuchet MS" w:hAnsi="Trebuchet MS"/>
          <w:b w:val="0"/>
          <w:bCs/>
          <w:sz w:val="22"/>
          <w:szCs w:val="22"/>
        </w:rPr>
        <w:t xml:space="preserve"> August 2022</w:t>
      </w:r>
    </w:p>
    <w:p w:rsidR="00D97697" w:rsidRDefault="00D97697" w:rsidP="00D97697">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D97697" w:rsidRDefault="00D97697" w:rsidP="00D97697">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1052/01- Existing </w:t>
      </w:r>
    </w:p>
    <w:p w:rsidR="00D97697" w:rsidRDefault="00D97697" w:rsidP="00D97697">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1052/03- Proposed for Planning </w:t>
      </w:r>
    </w:p>
    <w:p w:rsidR="009A0D58" w:rsidRDefault="002856CA" w:rsidP="00D97697">
      <w:pPr>
        <w:pStyle w:val="BodyText"/>
        <w:ind w:left="720"/>
        <w:jc w:val="both"/>
        <w:rPr>
          <w:rFonts w:ascii="Trebuchet MS" w:hAnsi="Trebuchet MS"/>
          <w:b w:val="0"/>
          <w:bCs/>
          <w:sz w:val="22"/>
          <w:szCs w:val="22"/>
        </w:rPr>
      </w:pPr>
      <w:r w:rsidRPr="009A0D58">
        <w:rPr>
          <w:rFonts w:ascii="Trebuchet MS" w:hAnsi="Trebuchet MS"/>
          <w:b w:val="0"/>
          <w:bCs/>
          <w:noProof/>
          <w:sz w:val="22"/>
          <w:szCs w:val="22"/>
          <w:lang w:eastAsia="en-GB"/>
        </w:rPr>
        <w:drawing>
          <wp:inline distT="0" distB="0" distL="0" distR="0">
            <wp:extent cx="2348865" cy="2172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8865" cy="2172970"/>
                    </a:xfrm>
                    <a:prstGeom prst="rect">
                      <a:avLst/>
                    </a:prstGeom>
                    <a:noFill/>
                    <a:ln>
                      <a:noFill/>
                    </a:ln>
                  </pic:spPr>
                </pic:pic>
              </a:graphicData>
            </a:graphic>
          </wp:inline>
        </w:drawing>
      </w:r>
      <w:r w:rsidR="009A0D58">
        <w:rPr>
          <w:rFonts w:ascii="Trebuchet MS" w:hAnsi="Trebuchet MS"/>
          <w:b w:val="0"/>
          <w:bCs/>
          <w:sz w:val="22"/>
          <w:szCs w:val="22"/>
        </w:rPr>
        <w:t xml:space="preserve">     </w:t>
      </w:r>
      <w:r w:rsidR="00607A91">
        <w:rPr>
          <w:rFonts w:ascii="Trebuchet MS" w:hAnsi="Trebuchet MS"/>
          <w:b w:val="0"/>
          <w:bCs/>
          <w:sz w:val="22"/>
          <w:szCs w:val="22"/>
        </w:rPr>
        <w:t xml:space="preserve">  </w:t>
      </w:r>
      <w:r w:rsidRPr="009A0D58">
        <w:rPr>
          <w:rFonts w:ascii="Trebuchet MS" w:hAnsi="Trebuchet MS"/>
          <w:b w:val="0"/>
          <w:bCs/>
          <w:noProof/>
          <w:sz w:val="22"/>
          <w:szCs w:val="22"/>
          <w:lang w:eastAsia="en-GB"/>
        </w:rPr>
        <w:drawing>
          <wp:inline distT="0" distB="0" distL="0" distR="0">
            <wp:extent cx="2072005" cy="2172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2005" cy="2172970"/>
                    </a:xfrm>
                    <a:prstGeom prst="rect">
                      <a:avLst/>
                    </a:prstGeom>
                    <a:noFill/>
                    <a:ln>
                      <a:noFill/>
                    </a:ln>
                  </pic:spPr>
                </pic:pic>
              </a:graphicData>
            </a:graphic>
          </wp:inline>
        </w:drawing>
      </w:r>
    </w:p>
    <w:p w:rsidR="009A0D58" w:rsidRDefault="009A0D58" w:rsidP="00D97697">
      <w:pPr>
        <w:pStyle w:val="BodyText"/>
        <w:ind w:left="720"/>
        <w:jc w:val="both"/>
        <w:rPr>
          <w:rFonts w:ascii="Trebuchet MS" w:hAnsi="Trebuchet MS"/>
          <w:b w:val="0"/>
          <w:bCs/>
          <w:sz w:val="22"/>
          <w:szCs w:val="22"/>
        </w:rPr>
      </w:pPr>
      <w:r>
        <w:rPr>
          <w:rFonts w:ascii="Trebuchet MS" w:hAnsi="Trebuchet MS"/>
          <w:b w:val="0"/>
          <w:bCs/>
          <w:sz w:val="22"/>
          <w:szCs w:val="22"/>
        </w:rPr>
        <w:t xml:space="preserve">           </w:t>
      </w:r>
    </w:p>
    <w:p w:rsidR="009A0D58" w:rsidRDefault="009A0D58" w:rsidP="009A0D58">
      <w:pPr>
        <w:pStyle w:val="BodyText"/>
        <w:ind w:left="1440"/>
        <w:jc w:val="both"/>
        <w:rPr>
          <w:rFonts w:ascii="Trebuchet MS" w:hAnsi="Trebuchet MS"/>
          <w:b w:val="0"/>
          <w:bCs/>
          <w:sz w:val="22"/>
          <w:szCs w:val="22"/>
          <w:u w:val="single"/>
        </w:rPr>
      </w:pPr>
      <w:r>
        <w:rPr>
          <w:rFonts w:ascii="Trebuchet MS" w:hAnsi="Trebuchet MS"/>
          <w:b w:val="0"/>
          <w:bCs/>
          <w:sz w:val="22"/>
          <w:szCs w:val="22"/>
        </w:rPr>
        <w:t xml:space="preserve">  </w:t>
      </w:r>
      <w:r w:rsidRPr="009A0D58">
        <w:rPr>
          <w:rFonts w:ascii="Trebuchet MS" w:hAnsi="Trebuchet MS"/>
          <w:b w:val="0"/>
          <w:bCs/>
          <w:sz w:val="22"/>
          <w:szCs w:val="22"/>
          <w:u w:val="single"/>
        </w:rPr>
        <w:t xml:space="preserve"> Existing</w:t>
      </w:r>
      <w:r>
        <w:rPr>
          <w:rFonts w:ascii="Trebuchet MS" w:hAnsi="Trebuchet MS"/>
          <w:b w:val="0"/>
          <w:bCs/>
          <w:sz w:val="22"/>
          <w:szCs w:val="22"/>
        </w:rPr>
        <w:t xml:space="preserve">                        </w:t>
      </w:r>
      <w:r w:rsidRPr="00607A91">
        <w:rPr>
          <w:rFonts w:ascii="Trebuchet MS" w:hAnsi="Trebuchet MS"/>
          <w:b w:val="0"/>
          <w:bCs/>
          <w:sz w:val="22"/>
          <w:szCs w:val="22"/>
        </w:rPr>
        <w:t xml:space="preserve">   </w:t>
      </w:r>
      <w:r w:rsidR="00607A91" w:rsidRPr="00607A91">
        <w:rPr>
          <w:rFonts w:ascii="Trebuchet MS" w:hAnsi="Trebuchet MS"/>
          <w:b w:val="0"/>
          <w:bCs/>
          <w:sz w:val="22"/>
          <w:szCs w:val="22"/>
        </w:rPr>
        <w:t xml:space="preserve">                  </w:t>
      </w:r>
      <w:r w:rsidRPr="009A0D58">
        <w:rPr>
          <w:rFonts w:ascii="Trebuchet MS" w:hAnsi="Trebuchet MS"/>
          <w:b w:val="0"/>
          <w:bCs/>
          <w:sz w:val="22"/>
          <w:szCs w:val="22"/>
          <w:u w:val="single"/>
        </w:rPr>
        <w:t>Proposed for Planning</w:t>
      </w:r>
    </w:p>
    <w:p w:rsidR="009A0D58" w:rsidRDefault="009A0D58" w:rsidP="009A0D58">
      <w:pPr>
        <w:pStyle w:val="BodyText"/>
        <w:ind w:left="1440"/>
        <w:jc w:val="both"/>
        <w:rPr>
          <w:rFonts w:ascii="Trebuchet MS" w:hAnsi="Trebuchet MS"/>
          <w:b w:val="0"/>
          <w:bCs/>
          <w:sz w:val="22"/>
          <w:szCs w:val="22"/>
        </w:rPr>
      </w:pPr>
    </w:p>
    <w:p w:rsidR="006671B2" w:rsidRPr="00FF3B1B" w:rsidRDefault="006671B2" w:rsidP="00D97697">
      <w:pPr>
        <w:pStyle w:val="BodyText"/>
        <w:ind w:left="1440" w:hanging="720"/>
        <w:jc w:val="both"/>
        <w:rPr>
          <w:rFonts w:ascii="Trebuchet MS" w:hAnsi="Trebuchet MS"/>
          <w:b w:val="0"/>
          <w:sz w:val="22"/>
          <w:szCs w:val="22"/>
        </w:rPr>
      </w:pPr>
    </w:p>
    <w:p w:rsidR="006671B2" w:rsidRPr="00FF3B1B" w:rsidRDefault="006671B2">
      <w:pPr>
        <w:numPr>
          <w:ilvl w:val="0"/>
          <w:numId w:val="24"/>
        </w:numPr>
        <w:ind w:hanging="720"/>
        <w:jc w:val="both"/>
        <w:rPr>
          <w:b/>
          <w:bCs/>
          <w:sz w:val="22"/>
          <w:szCs w:val="22"/>
        </w:rPr>
      </w:pPr>
      <w:r w:rsidRPr="00FF3B1B">
        <w:rPr>
          <w:b/>
          <w:bCs/>
          <w:sz w:val="22"/>
          <w:szCs w:val="22"/>
        </w:rPr>
        <w:lastRenderedPageBreak/>
        <w:t xml:space="preserve">RELEVANT PLANNING HISTORY </w:t>
      </w:r>
    </w:p>
    <w:p w:rsidR="006671B2" w:rsidRPr="004D4304" w:rsidRDefault="00D97697" w:rsidP="00D97697">
      <w:pPr>
        <w:ind w:left="720"/>
        <w:jc w:val="both"/>
        <w:rPr>
          <w:bCs/>
          <w:sz w:val="22"/>
          <w:szCs w:val="22"/>
        </w:rPr>
      </w:pPr>
      <w:r>
        <w:rPr>
          <w:bCs/>
          <w:sz w:val="22"/>
          <w:szCs w:val="22"/>
        </w:rPr>
        <w:t>None</w:t>
      </w:r>
    </w:p>
    <w:p w:rsidR="006671B2" w:rsidRPr="00FF3B1B" w:rsidRDefault="006671B2" w:rsidP="006671B2">
      <w:pPr>
        <w:jc w:val="both"/>
        <w:rPr>
          <w:b/>
          <w:bCs/>
          <w:sz w:val="22"/>
          <w:szCs w:val="22"/>
        </w:rPr>
      </w:pPr>
    </w:p>
    <w:p w:rsidR="006671B2" w:rsidRPr="00FF3B1B" w:rsidRDefault="006671B2">
      <w:pPr>
        <w:jc w:val="both"/>
        <w:rPr>
          <w:b/>
          <w:bCs/>
          <w:sz w:val="22"/>
          <w:szCs w:val="22"/>
        </w:rPr>
      </w:pPr>
      <w:r w:rsidRPr="00FF3B1B">
        <w:rPr>
          <w:b/>
          <w:bCs/>
          <w:sz w:val="22"/>
          <w:szCs w:val="22"/>
        </w:rPr>
        <w:t>4.</w:t>
      </w:r>
      <w:r w:rsidRPr="00FF3B1B">
        <w:rPr>
          <w:b/>
          <w:bCs/>
          <w:sz w:val="22"/>
          <w:szCs w:val="22"/>
        </w:rPr>
        <w:tab/>
        <w:t>CONSULTATIONS</w:t>
      </w:r>
    </w:p>
    <w:p w:rsidR="006671B2" w:rsidRPr="00FF3B1B" w:rsidRDefault="006671B2">
      <w:pPr>
        <w:jc w:val="both"/>
        <w:rPr>
          <w:b/>
          <w:bCs/>
          <w:sz w:val="22"/>
          <w:szCs w:val="22"/>
        </w:rPr>
      </w:pPr>
    </w:p>
    <w:p w:rsidR="006671B2" w:rsidRDefault="006671B2" w:rsidP="00D97697">
      <w:pPr>
        <w:ind w:left="720"/>
        <w:jc w:val="both"/>
        <w:rPr>
          <w:sz w:val="22"/>
          <w:szCs w:val="22"/>
        </w:rPr>
      </w:pPr>
      <w:r w:rsidRPr="00FF3B1B">
        <w:rPr>
          <w:sz w:val="22"/>
          <w:szCs w:val="22"/>
        </w:rPr>
        <w:t>The following addresses were consulted by letter.</w:t>
      </w:r>
    </w:p>
    <w:p w:rsidR="006671B2" w:rsidRPr="00FF3B1B" w:rsidRDefault="006671B2" w:rsidP="00D97697">
      <w:pPr>
        <w:ind w:left="720"/>
        <w:jc w:val="both"/>
        <w:rPr>
          <w:b/>
          <w:sz w:val="22"/>
          <w:szCs w:val="22"/>
        </w:rPr>
      </w:pPr>
    </w:p>
    <w:p w:rsidR="006671B2" w:rsidRPr="00FF3B1B" w:rsidRDefault="006671B2" w:rsidP="00D97697">
      <w:pPr>
        <w:ind w:left="720"/>
        <w:rPr>
          <w:sz w:val="22"/>
          <w:szCs w:val="22"/>
        </w:rPr>
      </w:pPr>
      <w:r w:rsidRPr="00FF3B1B">
        <w:rPr>
          <w:sz w:val="22"/>
          <w:szCs w:val="22"/>
        </w:rPr>
        <w:t>30 Ogmore Close, Tilehurst, Reading, RG3 4SX</w:t>
      </w:r>
    </w:p>
    <w:p w:rsidR="006671B2" w:rsidRPr="00FF3B1B" w:rsidRDefault="006671B2" w:rsidP="00D97697">
      <w:pPr>
        <w:ind w:left="720"/>
        <w:rPr>
          <w:sz w:val="22"/>
          <w:szCs w:val="22"/>
        </w:rPr>
      </w:pPr>
      <w:r>
        <w:rPr>
          <w:sz w:val="22"/>
          <w:szCs w:val="22"/>
        </w:rPr>
        <w:t>112 Teviot Road, Tilehurst, Reading, RG30 4SS</w:t>
      </w:r>
    </w:p>
    <w:p w:rsidR="006671B2" w:rsidRPr="00FF3B1B" w:rsidRDefault="006671B2" w:rsidP="00D97697">
      <w:pPr>
        <w:ind w:left="720"/>
        <w:rPr>
          <w:sz w:val="22"/>
          <w:szCs w:val="22"/>
        </w:rPr>
      </w:pPr>
      <w:r w:rsidRPr="00FF3B1B">
        <w:rPr>
          <w:sz w:val="22"/>
          <w:szCs w:val="22"/>
        </w:rPr>
        <w:t>116 Teviot Road, Tilehurst, RG30 4SS</w:t>
      </w:r>
    </w:p>
    <w:p w:rsidR="006671B2" w:rsidRPr="00FF3B1B" w:rsidRDefault="006671B2">
      <w:pPr>
        <w:ind w:left="720" w:hanging="720"/>
        <w:jc w:val="both"/>
        <w:rPr>
          <w:sz w:val="22"/>
          <w:szCs w:val="22"/>
        </w:rPr>
      </w:pPr>
    </w:p>
    <w:p w:rsidR="006671B2" w:rsidRDefault="00D97697" w:rsidP="00D97697">
      <w:pPr>
        <w:ind w:left="1440" w:hanging="720"/>
        <w:jc w:val="both"/>
        <w:rPr>
          <w:sz w:val="22"/>
          <w:szCs w:val="22"/>
        </w:rPr>
      </w:pPr>
      <w:r>
        <w:rPr>
          <w:sz w:val="22"/>
          <w:szCs w:val="22"/>
        </w:rPr>
        <w:t>No l</w:t>
      </w:r>
      <w:r w:rsidR="006671B2" w:rsidRPr="00FF3B1B">
        <w:rPr>
          <w:sz w:val="22"/>
          <w:szCs w:val="22"/>
        </w:rPr>
        <w:t>etters of representation have been received</w:t>
      </w:r>
      <w:r>
        <w:rPr>
          <w:sz w:val="22"/>
          <w:szCs w:val="22"/>
        </w:rPr>
        <w:t>.</w:t>
      </w:r>
    </w:p>
    <w:p w:rsidR="006671B2" w:rsidRDefault="006671B2" w:rsidP="006671B2">
      <w:pPr>
        <w:jc w:val="both"/>
        <w:rPr>
          <w:sz w:val="22"/>
          <w:szCs w:val="22"/>
        </w:rPr>
      </w:pPr>
    </w:p>
    <w:p w:rsidR="006671B2" w:rsidRPr="00D97697" w:rsidRDefault="006671B2" w:rsidP="00D97697">
      <w:pPr>
        <w:overflowPunct/>
        <w:adjustRightInd/>
        <w:ind w:left="720"/>
        <w:jc w:val="both"/>
        <w:textAlignment w:val="auto"/>
        <w:rPr>
          <w:rFonts w:cs="Arial"/>
          <w:b/>
          <w:bCs/>
          <w:color w:val="000000"/>
          <w:sz w:val="22"/>
          <w:szCs w:val="22"/>
          <w:lang w:eastAsia="en-GB"/>
        </w:rPr>
      </w:pPr>
      <w:r w:rsidRPr="00D97697">
        <w:rPr>
          <w:rFonts w:cs="Arial"/>
          <w:b/>
          <w:bCs/>
          <w:color w:val="000000"/>
          <w:sz w:val="22"/>
          <w:szCs w:val="22"/>
          <w:lang w:eastAsia="en-GB"/>
        </w:rPr>
        <w:t>Equality Act 2010:</w:t>
      </w:r>
    </w:p>
    <w:p w:rsidR="006671B2" w:rsidRPr="002B4A87" w:rsidRDefault="006671B2" w:rsidP="00D97697">
      <w:pPr>
        <w:overflowPunct/>
        <w:adjustRightInd/>
        <w:ind w:left="720"/>
        <w:jc w:val="both"/>
        <w:textAlignment w:val="auto"/>
        <w:rPr>
          <w:rFonts w:cs="Arial"/>
          <w:bCs/>
          <w:color w:val="000000"/>
          <w:szCs w:val="24"/>
          <w:lang w:eastAsia="en-GB"/>
        </w:rPr>
      </w:pPr>
      <w:r w:rsidRPr="00D97697">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671B2" w:rsidRPr="00FF3B1B" w:rsidRDefault="006671B2">
      <w:pPr>
        <w:ind w:left="720" w:hanging="720"/>
        <w:jc w:val="both"/>
        <w:rPr>
          <w:sz w:val="22"/>
          <w:szCs w:val="22"/>
        </w:rPr>
      </w:pPr>
    </w:p>
    <w:p w:rsidR="006671B2" w:rsidRPr="00FF3B1B" w:rsidRDefault="00DF0589" w:rsidP="006671B2">
      <w:pPr>
        <w:numPr>
          <w:ilvl w:val="0"/>
          <w:numId w:val="29"/>
        </w:numPr>
        <w:jc w:val="both"/>
        <w:rPr>
          <w:b/>
          <w:bCs/>
          <w:sz w:val="22"/>
          <w:szCs w:val="22"/>
          <w:lang w:eastAsia="en-GB"/>
        </w:rPr>
      </w:pPr>
      <w:r>
        <w:rPr>
          <w:b/>
          <w:bCs/>
          <w:sz w:val="22"/>
          <w:szCs w:val="22"/>
          <w:lang w:eastAsia="en-GB"/>
        </w:rPr>
        <w:t xml:space="preserve">     </w:t>
      </w:r>
      <w:r w:rsidR="006671B2" w:rsidRPr="00FF3B1B">
        <w:rPr>
          <w:b/>
          <w:bCs/>
          <w:sz w:val="22"/>
          <w:szCs w:val="22"/>
          <w:lang w:eastAsia="en-GB"/>
        </w:rPr>
        <w:t>LEGAL AND PLANNING POLICY CONTEXT</w:t>
      </w:r>
    </w:p>
    <w:p w:rsidR="006671B2" w:rsidRPr="00FF3B1B" w:rsidRDefault="006671B2" w:rsidP="006671B2">
      <w:pPr>
        <w:ind w:left="720"/>
        <w:jc w:val="both"/>
        <w:rPr>
          <w:bCs/>
          <w:sz w:val="22"/>
          <w:szCs w:val="22"/>
          <w:lang w:eastAsia="en-GB"/>
        </w:rPr>
      </w:pPr>
    </w:p>
    <w:p w:rsidR="006671B2" w:rsidRPr="003E3680" w:rsidRDefault="006671B2" w:rsidP="00DF0589">
      <w:pPr>
        <w:ind w:left="720"/>
        <w:jc w:val="both"/>
        <w:rPr>
          <w:rFonts w:cs="Trebuchet MS"/>
          <w:bCs/>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00DF0589">
        <w:rPr>
          <w:sz w:val="22"/>
          <w:szCs w:val="22"/>
        </w:rPr>
        <w:t>.</w:t>
      </w:r>
    </w:p>
    <w:p w:rsidR="006671B2" w:rsidRPr="00FF3B1B" w:rsidRDefault="006671B2" w:rsidP="006671B2">
      <w:pPr>
        <w:jc w:val="both"/>
        <w:rPr>
          <w:b/>
          <w:bCs/>
          <w:sz w:val="22"/>
          <w:szCs w:val="22"/>
          <w:lang w:eastAsia="en-GB"/>
        </w:rPr>
      </w:pPr>
    </w:p>
    <w:p w:rsidR="006671B2" w:rsidRPr="00FF3B1B" w:rsidRDefault="006671B2" w:rsidP="00DF0589">
      <w:pPr>
        <w:ind w:left="720"/>
        <w:jc w:val="both"/>
        <w:rPr>
          <w:b/>
          <w:bCs/>
          <w:sz w:val="22"/>
          <w:szCs w:val="22"/>
          <w:u w:val="single"/>
          <w:lang w:eastAsia="en-GB"/>
        </w:rPr>
      </w:pPr>
      <w:r w:rsidRPr="00FF3B1B">
        <w:rPr>
          <w:b/>
          <w:bCs/>
          <w:sz w:val="22"/>
          <w:szCs w:val="22"/>
          <w:u w:val="single"/>
          <w:lang w:eastAsia="en-GB"/>
        </w:rPr>
        <w:t>National Policy</w:t>
      </w:r>
    </w:p>
    <w:p w:rsidR="006671B2" w:rsidRPr="00FF3B1B" w:rsidRDefault="006671B2" w:rsidP="00DF0589">
      <w:pPr>
        <w:ind w:left="720"/>
        <w:jc w:val="both"/>
        <w:rPr>
          <w:bCs/>
          <w:sz w:val="22"/>
          <w:szCs w:val="22"/>
          <w:lang w:eastAsia="en-GB"/>
        </w:rPr>
      </w:pPr>
      <w:r w:rsidRPr="00FF3B1B">
        <w:rPr>
          <w:bCs/>
          <w:sz w:val="22"/>
          <w:szCs w:val="22"/>
          <w:lang w:eastAsia="en-GB"/>
        </w:rPr>
        <w:t xml:space="preserve">National Planning Policy Framework </w:t>
      </w:r>
    </w:p>
    <w:p w:rsidR="006671B2" w:rsidRPr="00FF3B1B" w:rsidRDefault="006671B2" w:rsidP="00DF0589">
      <w:pPr>
        <w:ind w:left="720"/>
        <w:jc w:val="both"/>
        <w:rPr>
          <w:bCs/>
          <w:sz w:val="22"/>
          <w:szCs w:val="22"/>
          <w:lang w:eastAsia="en-GB"/>
        </w:rPr>
      </w:pPr>
      <w:r w:rsidRPr="00FF3B1B">
        <w:rPr>
          <w:bCs/>
          <w:sz w:val="22"/>
          <w:szCs w:val="22"/>
          <w:lang w:eastAsia="en-GB"/>
        </w:rPr>
        <w:t>National Planning Practice Guidance</w:t>
      </w:r>
    </w:p>
    <w:p w:rsidR="006671B2" w:rsidRDefault="006671B2" w:rsidP="00DF0589">
      <w:pPr>
        <w:ind w:left="720"/>
        <w:jc w:val="both"/>
        <w:rPr>
          <w:bCs/>
          <w:sz w:val="22"/>
          <w:szCs w:val="22"/>
          <w:lang w:eastAsia="en-GB"/>
        </w:rPr>
      </w:pPr>
    </w:p>
    <w:p w:rsidR="006671B2" w:rsidRPr="00FF3B1B" w:rsidRDefault="006671B2" w:rsidP="00DF0589">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671B2" w:rsidRPr="00917B3D" w:rsidRDefault="006671B2" w:rsidP="00DF0589">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671B2" w:rsidRPr="00917B3D" w:rsidRDefault="006671B2" w:rsidP="00DF0589">
      <w:pPr>
        <w:ind w:left="720"/>
        <w:jc w:val="both"/>
        <w:rPr>
          <w:bCs/>
          <w:sz w:val="22"/>
          <w:szCs w:val="22"/>
        </w:rPr>
      </w:pPr>
      <w:r>
        <w:rPr>
          <w:bCs/>
          <w:sz w:val="22"/>
          <w:szCs w:val="22"/>
        </w:rPr>
        <w:t>CC8</w:t>
      </w:r>
      <w:r w:rsidRPr="00917B3D">
        <w:rPr>
          <w:bCs/>
          <w:sz w:val="22"/>
          <w:szCs w:val="22"/>
        </w:rPr>
        <w:t xml:space="preserve"> (Safeguarding Amenity) </w:t>
      </w:r>
    </w:p>
    <w:p w:rsidR="006671B2" w:rsidRPr="00917B3D" w:rsidRDefault="006671B2" w:rsidP="00DF0589">
      <w:pPr>
        <w:ind w:left="720"/>
        <w:jc w:val="both"/>
        <w:rPr>
          <w:bCs/>
          <w:sz w:val="22"/>
          <w:szCs w:val="22"/>
        </w:rPr>
      </w:pPr>
      <w:r>
        <w:rPr>
          <w:bCs/>
          <w:sz w:val="22"/>
          <w:szCs w:val="22"/>
        </w:rPr>
        <w:t>H9</w:t>
      </w:r>
      <w:r w:rsidRPr="00917B3D">
        <w:rPr>
          <w:bCs/>
          <w:sz w:val="22"/>
          <w:szCs w:val="22"/>
        </w:rPr>
        <w:t xml:space="preserve"> (House Extensions and Ancillary Accommodation)</w:t>
      </w:r>
    </w:p>
    <w:p w:rsidR="006671B2" w:rsidRPr="00FF3B1B" w:rsidRDefault="006671B2" w:rsidP="006671B2">
      <w:pPr>
        <w:jc w:val="both"/>
        <w:rPr>
          <w:bCs/>
          <w:sz w:val="22"/>
          <w:szCs w:val="22"/>
          <w:lang w:eastAsia="en-GB"/>
        </w:rPr>
      </w:pPr>
    </w:p>
    <w:p w:rsidR="006671B2" w:rsidRPr="00FF3B1B" w:rsidRDefault="006671B2" w:rsidP="00DF0589">
      <w:pPr>
        <w:ind w:left="720"/>
        <w:jc w:val="both"/>
        <w:rPr>
          <w:b/>
          <w:bCs/>
          <w:sz w:val="22"/>
          <w:szCs w:val="22"/>
          <w:u w:val="single"/>
          <w:lang w:eastAsia="en-GB"/>
        </w:rPr>
      </w:pPr>
      <w:r w:rsidRPr="00FF3B1B">
        <w:rPr>
          <w:b/>
          <w:bCs/>
          <w:sz w:val="22"/>
          <w:szCs w:val="22"/>
          <w:u w:val="single"/>
          <w:lang w:eastAsia="en-GB"/>
        </w:rPr>
        <w:t>SPD</w:t>
      </w:r>
    </w:p>
    <w:p w:rsidR="006671B2" w:rsidRDefault="006671B2" w:rsidP="00DF0589">
      <w:pPr>
        <w:overflowPunct/>
        <w:autoSpaceDE/>
        <w:autoSpaceDN/>
        <w:adjustRightInd/>
        <w:ind w:left="720"/>
        <w:textAlignment w:val="auto"/>
        <w:rPr>
          <w:sz w:val="22"/>
          <w:szCs w:val="22"/>
        </w:rPr>
      </w:pPr>
      <w:r w:rsidRPr="00FF3B1B">
        <w:rPr>
          <w:sz w:val="22"/>
          <w:szCs w:val="22"/>
        </w:rPr>
        <w:t>Desi</w:t>
      </w:r>
      <w:r w:rsidR="00DF0589">
        <w:rPr>
          <w:sz w:val="22"/>
          <w:szCs w:val="22"/>
        </w:rPr>
        <w:t xml:space="preserve">gn Guide to House </w:t>
      </w:r>
      <w:r w:rsidR="00D0389F">
        <w:rPr>
          <w:sz w:val="22"/>
          <w:szCs w:val="22"/>
        </w:rPr>
        <w:t>Extensions (</w:t>
      </w:r>
      <w:r w:rsidR="00DF0589">
        <w:rPr>
          <w:sz w:val="22"/>
          <w:szCs w:val="22"/>
        </w:rPr>
        <w:t>2021)</w:t>
      </w:r>
    </w:p>
    <w:p w:rsidR="006671B2" w:rsidRPr="00FF3B1B" w:rsidRDefault="006671B2" w:rsidP="006671B2">
      <w:pPr>
        <w:overflowPunct/>
        <w:autoSpaceDE/>
        <w:autoSpaceDN/>
        <w:adjustRightInd/>
        <w:ind w:left="720"/>
        <w:textAlignment w:val="auto"/>
        <w:rPr>
          <w:sz w:val="22"/>
          <w:szCs w:val="22"/>
        </w:rPr>
      </w:pPr>
    </w:p>
    <w:p w:rsidR="006671B2" w:rsidRPr="00FF3B1B" w:rsidRDefault="006671B2">
      <w:pPr>
        <w:jc w:val="both"/>
        <w:rPr>
          <w:b/>
          <w:bCs/>
          <w:sz w:val="22"/>
          <w:szCs w:val="22"/>
        </w:rPr>
      </w:pPr>
    </w:p>
    <w:p w:rsidR="006671B2" w:rsidRPr="00FF3B1B" w:rsidRDefault="006671B2">
      <w:pPr>
        <w:jc w:val="both"/>
        <w:rPr>
          <w:b/>
          <w:bCs/>
          <w:sz w:val="22"/>
          <w:szCs w:val="22"/>
        </w:rPr>
      </w:pPr>
      <w:r w:rsidRPr="00FF3B1B">
        <w:rPr>
          <w:b/>
          <w:bCs/>
          <w:sz w:val="22"/>
          <w:szCs w:val="22"/>
        </w:rPr>
        <w:t>6.</w:t>
      </w:r>
      <w:r w:rsidRPr="00FF3B1B">
        <w:rPr>
          <w:b/>
          <w:bCs/>
          <w:sz w:val="22"/>
          <w:szCs w:val="22"/>
        </w:rPr>
        <w:tab/>
        <w:t>APPRAISAL</w:t>
      </w:r>
    </w:p>
    <w:p w:rsidR="006671B2" w:rsidRPr="006D3285" w:rsidRDefault="006671B2" w:rsidP="00DF0589">
      <w:pPr>
        <w:ind w:left="720"/>
        <w:rPr>
          <w:b/>
          <w:bCs/>
          <w:sz w:val="22"/>
          <w:szCs w:val="22"/>
          <w:u w:val="single"/>
          <w:lang w:eastAsia="en-GB"/>
        </w:rPr>
      </w:pPr>
      <w:r w:rsidRPr="006D3285">
        <w:rPr>
          <w:b/>
          <w:bCs/>
          <w:sz w:val="22"/>
          <w:szCs w:val="22"/>
          <w:u w:val="single"/>
          <w:lang w:eastAsia="en-GB"/>
        </w:rPr>
        <w:t>Character and Appearance</w:t>
      </w:r>
    </w:p>
    <w:p w:rsidR="006671B2" w:rsidRPr="00FA05A6" w:rsidRDefault="006671B2" w:rsidP="000E4A33">
      <w:pPr>
        <w:ind w:left="720"/>
        <w:jc w:val="both"/>
        <w:rPr>
          <w:sz w:val="22"/>
          <w:szCs w:val="22"/>
          <w:lang w:eastAsia="en-GB"/>
        </w:rPr>
      </w:pPr>
    </w:p>
    <w:p w:rsidR="006671B2" w:rsidRPr="006D3285" w:rsidRDefault="006671B2" w:rsidP="000E4A33">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6671B2" w:rsidRPr="00FA05A6" w:rsidRDefault="006671B2" w:rsidP="000E4A33">
      <w:pPr>
        <w:overflowPunct/>
        <w:adjustRightInd/>
        <w:ind w:left="720"/>
        <w:contextualSpacing/>
        <w:jc w:val="both"/>
        <w:textAlignment w:val="auto"/>
        <w:rPr>
          <w:sz w:val="22"/>
          <w:szCs w:val="22"/>
          <w:u w:val="single"/>
          <w:lang w:eastAsia="en-GB"/>
        </w:rPr>
      </w:pPr>
    </w:p>
    <w:p w:rsidR="00362C46" w:rsidRPr="00362C46" w:rsidRDefault="00DF0589" w:rsidP="000E4A33">
      <w:pPr>
        <w:overflowPunct/>
        <w:adjustRightInd/>
        <w:ind w:left="720"/>
        <w:contextualSpacing/>
        <w:jc w:val="both"/>
        <w:textAlignment w:val="auto"/>
        <w:rPr>
          <w:bCs/>
          <w:iCs/>
          <w:sz w:val="22"/>
          <w:szCs w:val="22"/>
          <w:lang w:eastAsia="en-GB"/>
        </w:rPr>
      </w:pPr>
      <w:r w:rsidRPr="00362C46">
        <w:rPr>
          <w:bCs/>
          <w:iCs/>
          <w:sz w:val="22"/>
          <w:szCs w:val="22"/>
          <w:lang w:eastAsia="en-GB"/>
        </w:rPr>
        <w:t>The extension is to the rear of the building and is only 3.4m deep and less than 4m hig</w:t>
      </w:r>
      <w:r w:rsidR="000E4A33">
        <w:rPr>
          <w:bCs/>
          <w:iCs/>
          <w:sz w:val="22"/>
          <w:szCs w:val="22"/>
          <w:lang w:eastAsia="en-GB"/>
        </w:rPr>
        <w:t>h.</w:t>
      </w:r>
      <w:r w:rsidR="00362C46" w:rsidRPr="00362C46">
        <w:rPr>
          <w:bCs/>
          <w:iCs/>
          <w:sz w:val="22"/>
          <w:szCs w:val="22"/>
          <w:lang w:eastAsia="en-GB"/>
        </w:rPr>
        <w:t xml:space="preserve">  The change of the exterior materials </w:t>
      </w:r>
      <w:r w:rsidR="000E4A33">
        <w:rPr>
          <w:bCs/>
          <w:iCs/>
          <w:sz w:val="22"/>
          <w:szCs w:val="22"/>
          <w:lang w:eastAsia="en-GB"/>
        </w:rPr>
        <w:t xml:space="preserve">will be to face bricks.  Although the </w:t>
      </w:r>
      <w:r w:rsidR="00560821">
        <w:rPr>
          <w:bCs/>
          <w:iCs/>
          <w:sz w:val="22"/>
          <w:szCs w:val="22"/>
          <w:lang w:eastAsia="en-GB"/>
        </w:rPr>
        <w:t>existing</w:t>
      </w:r>
      <w:r w:rsidR="000E4A33">
        <w:rPr>
          <w:bCs/>
          <w:iCs/>
          <w:sz w:val="22"/>
          <w:szCs w:val="22"/>
          <w:lang w:eastAsia="en-GB"/>
        </w:rPr>
        <w:t xml:space="preserve"> materials are </w:t>
      </w:r>
      <w:r w:rsidR="00560821">
        <w:rPr>
          <w:bCs/>
          <w:iCs/>
          <w:sz w:val="22"/>
          <w:szCs w:val="22"/>
          <w:lang w:eastAsia="en-GB"/>
        </w:rPr>
        <w:t>tile hung and pebble dash to the front and pebbledash to the rear there are other properties in close proximity which have brick exteriors.</w:t>
      </w:r>
    </w:p>
    <w:p w:rsidR="00362C46" w:rsidRPr="00362C46" w:rsidRDefault="00362C46" w:rsidP="000E4A33">
      <w:pPr>
        <w:overflowPunct/>
        <w:adjustRightInd/>
        <w:ind w:left="720"/>
        <w:contextualSpacing/>
        <w:jc w:val="both"/>
        <w:textAlignment w:val="auto"/>
        <w:rPr>
          <w:bCs/>
          <w:iCs/>
          <w:sz w:val="22"/>
          <w:szCs w:val="22"/>
          <w:lang w:eastAsia="en-GB"/>
        </w:rPr>
      </w:pPr>
    </w:p>
    <w:p w:rsidR="006671B2" w:rsidRPr="00362C46" w:rsidRDefault="00362C46" w:rsidP="000E4A33">
      <w:pPr>
        <w:overflowPunct/>
        <w:adjustRightInd/>
        <w:ind w:left="720"/>
        <w:contextualSpacing/>
        <w:jc w:val="both"/>
        <w:textAlignment w:val="auto"/>
        <w:rPr>
          <w:bCs/>
          <w:iCs/>
          <w:sz w:val="22"/>
          <w:szCs w:val="22"/>
          <w:lang w:eastAsia="en-GB"/>
        </w:rPr>
      </w:pPr>
      <w:r w:rsidRPr="00362C46">
        <w:rPr>
          <w:bCs/>
          <w:iCs/>
          <w:sz w:val="22"/>
          <w:szCs w:val="22"/>
          <w:lang w:eastAsia="en-GB"/>
        </w:rPr>
        <w:lastRenderedPageBreak/>
        <w:t xml:space="preserve">Therefore, it is considered that the scale and style of this proposal will not have a detrimental impact on the character of the area and the existing dwelling to an unacceptable degree. </w:t>
      </w:r>
    </w:p>
    <w:p w:rsidR="006671B2" w:rsidRPr="00FA05A6" w:rsidRDefault="006671B2" w:rsidP="000E4A33">
      <w:pPr>
        <w:overflowPunct/>
        <w:adjustRightInd/>
        <w:ind w:left="720"/>
        <w:contextualSpacing/>
        <w:jc w:val="both"/>
        <w:textAlignment w:val="auto"/>
        <w:rPr>
          <w:sz w:val="22"/>
          <w:szCs w:val="22"/>
          <w:u w:val="single"/>
          <w:lang w:eastAsia="en-GB"/>
        </w:rPr>
      </w:pPr>
    </w:p>
    <w:p w:rsidR="006671B2" w:rsidRPr="00FA05A6" w:rsidRDefault="006671B2" w:rsidP="000E4A33">
      <w:pPr>
        <w:ind w:left="720"/>
        <w:jc w:val="both"/>
        <w:rPr>
          <w:b/>
          <w:bCs/>
          <w:sz w:val="22"/>
          <w:szCs w:val="22"/>
          <w:u w:val="single"/>
          <w:lang w:eastAsia="en-GB"/>
        </w:rPr>
      </w:pPr>
      <w:r w:rsidRPr="006D3285">
        <w:rPr>
          <w:b/>
          <w:bCs/>
          <w:sz w:val="22"/>
          <w:szCs w:val="22"/>
          <w:u w:val="single"/>
          <w:lang w:eastAsia="en-GB"/>
        </w:rPr>
        <w:t>Residential Amenity</w:t>
      </w:r>
    </w:p>
    <w:p w:rsidR="006671B2" w:rsidRPr="00FA05A6" w:rsidRDefault="006671B2" w:rsidP="000E4A33">
      <w:pPr>
        <w:ind w:left="720"/>
        <w:jc w:val="both"/>
        <w:rPr>
          <w:b/>
          <w:bCs/>
          <w:sz w:val="22"/>
          <w:szCs w:val="22"/>
          <w:u w:val="single"/>
          <w:lang w:eastAsia="en-GB"/>
        </w:rPr>
      </w:pPr>
    </w:p>
    <w:p w:rsidR="006671B2" w:rsidRPr="006D3285" w:rsidRDefault="006671B2" w:rsidP="000E4A33">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6671B2" w:rsidRPr="006D3285" w:rsidRDefault="006671B2" w:rsidP="000E4A33">
      <w:pPr>
        <w:overflowPunct/>
        <w:adjustRightInd/>
        <w:ind w:left="720"/>
        <w:jc w:val="both"/>
        <w:textAlignment w:val="auto"/>
        <w:rPr>
          <w:color w:val="000000"/>
          <w:sz w:val="22"/>
          <w:szCs w:val="22"/>
          <w:lang w:eastAsia="en-GB"/>
        </w:rPr>
      </w:pPr>
    </w:p>
    <w:p w:rsidR="006671B2" w:rsidRPr="00362C46" w:rsidRDefault="00362C46" w:rsidP="000E4A33">
      <w:pPr>
        <w:overflowPunct/>
        <w:autoSpaceDE/>
        <w:autoSpaceDN/>
        <w:adjustRightInd/>
        <w:ind w:left="720"/>
        <w:contextualSpacing/>
        <w:jc w:val="both"/>
        <w:textAlignment w:val="auto"/>
        <w:rPr>
          <w:iCs/>
          <w:color w:val="000000"/>
          <w:sz w:val="22"/>
          <w:szCs w:val="22"/>
          <w:lang w:eastAsia="en-GB"/>
        </w:rPr>
      </w:pPr>
      <w:r w:rsidRPr="00362C46">
        <w:rPr>
          <w:iCs/>
          <w:color w:val="000000"/>
          <w:sz w:val="22"/>
          <w:szCs w:val="22"/>
          <w:lang w:eastAsia="en-GB"/>
        </w:rPr>
        <w:t>The proposal is not deemed to have any overbearing or overlooking impact as the extension is limited to a single storey level and does not present any heights which could provide vantage points for overlooking. The depth of 3.4m is not considered enough to have any negative impact on the sunlight and daylight available to adjoining properties and will not present any significant overbearing issues on the properties on both sides of the existing dwelling.</w:t>
      </w:r>
    </w:p>
    <w:p w:rsidR="006671B2" w:rsidRDefault="006671B2" w:rsidP="00DF0589">
      <w:pPr>
        <w:overflowPunct/>
        <w:autoSpaceDE/>
        <w:autoSpaceDN/>
        <w:adjustRightInd/>
        <w:ind w:left="720"/>
        <w:contextualSpacing/>
        <w:jc w:val="both"/>
        <w:textAlignment w:val="auto"/>
        <w:rPr>
          <w:i/>
          <w:iCs/>
          <w:color w:val="000000"/>
          <w:sz w:val="22"/>
          <w:szCs w:val="22"/>
          <w:highlight w:val="yellow"/>
          <w:lang w:eastAsia="en-GB"/>
        </w:rPr>
      </w:pPr>
    </w:p>
    <w:p w:rsidR="006671B2" w:rsidRPr="00356D64" w:rsidRDefault="006671B2" w:rsidP="006671B2">
      <w:pPr>
        <w:jc w:val="both"/>
        <w:rPr>
          <w:color w:val="000000"/>
          <w:sz w:val="22"/>
          <w:szCs w:val="22"/>
          <w:lang w:eastAsia="en-GB"/>
        </w:rPr>
      </w:pPr>
    </w:p>
    <w:p w:rsidR="006671B2" w:rsidRDefault="006671B2" w:rsidP="006671B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671B2" w:rsidRPr="00FA05A6" w:rsidRDefault="006671B2" w:rsidP="00362C46">
      <w:pPr>
        <w:ind w:left="720"/>
        <w:jc w:val="both"/>
        <w:rPr>
          <w:bCs/>
          <w:sz w:val="22"/>
          <w:szCs w:val="22"/>
          <w:lang w:eastAsia="en-GB"/>
        </w:rPr>
      </w:pPr>
      <w:r w:rsidRPr="00362C46">
        <w:rPr>
          <w:bCs/>
          <w:sz w:val="22"/>
          <w:szCs w:val="22"/>
          <w:lang w:eastAsia="en-GB"/>
        </w:rPr>
        <w:t>The proposed development has been assessed as set out above and is considered to be acceptable on that basis, subject to the following conditions.</w:t>
      </w:r>
    </w:p>
    <w:p w:rsidR="006671B2" w:rsidRPr="00FA05A6" w:rsidRDefault="006671B2" w:rsidP="006671B2">
      <w:pPr>
        <w:jc w:val="both"/>
        <w:rPr>
          <w:rFonts w:cs="Trebuchet MS"/>
          <w:sz w:val="22"/>
          <w:szCs w:val="22"/>
          <w:u w:val="single"/>
          <w:lang w:eastAsia="en-GB"/>
        </w:rPr>
      </w:pPr>
    </w:p>
    <w:p w:rsidR="006671B2" w:rsidRPr="00356D64" w:rsidRDefault="006671B2" w:rsidP="006671B2">
      <w:pPr>
        <w:ind w:hanging="11"/>
        <w:jc w:val="both"/>
        <w:rPr>
          <w:rFonts w:cs="Trebuchet MS"/>
          <w:sz w:val="22"/>
          <w:szCs w:val="22"/>
          <w:u w:val="single"/>
          <w:lang w:eastAsia="en-GB"/>
        </w:rPr>
      </w:pPr>
    </w:p>
    <w:p w:rsidR="006671B2" w:rsidRPr="00FF3B1B" w:rsidRDefault="006671B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362C46">
        <w:rPr>
          <w:rFonts w:ascii="Trebuchet MS" w:hAnsi="Trebuchet MS"/>
          <w:b/>
          <w:bCs/>
          <w:sz w:val="22"/>
          <w:szCs w:val="22"/>
        </w:rPr>
        <w:t>ECOMMENDATION: Grant</w:t>
      </w:r>
      <w:r w:rsidRPr="00FF3B1B">
        <w:rPr>
          <w:rFonts w:ascii="Trebuchet MS" w:hAnsi="Trebuchet MS"/>
          <w:b/>
          <w:bCs/>
          <w:sz w:val="22"/>
          <w:szCs w:val="22"/>
        </w:rPr>
        <w:t xml:space="preserve"> </w:t>
      </w:r>
    </w:p>
    <w:p w:rsidR="006671B2" w:rsidRDefault="006671B2" w:rsidP="006671B2">
      <w:pPr>
        <w:ind w:hanging="11"/>
        <w:jc w:val="both"/>
        <w:rPr>
          <w:rFonts w:cs="Trebuchet MS"/>
          <w:sz w:val="22"/>
          <w:szCs w:val="22"/>
          <w:u w:val="single"/>
          <w:lang w:eastAsia="en-GB"/>
        </w:rPr>
      </w:pPr>
    </w:p>
    <w:p w:rsidR="006671B2" w:rsidRDefault="006671B2" w:rsidP="00362C46">
      <w:pPr>
        <w:ind w:left="731" w:hanging="11"/>
        <w:jc w:val="both"/>
        <w:rPr>
          <w:rFonts w:cs="Trebuchet MS"/>
          <w:sz w:val="22"/>
          <w:szCs w:val="22"/>
          <w:lang w:eastAsia="en-GB"/>
        </w:rPr>
      </w:pPr>
      <w:r w:rsidRPr="006511AF">
        <w:rPr>
          <w:rFonts w:cs="Trebuchet MS"/>
          <w:sz w:val="22"/>
          <w:szCs w:val="22"/>
          <w:lang w:eastAsia="en-GB"/>
        </w:rPr>
        <w:t>Recommended Conditions:</w:t>
      </w:r>
    </w:p>
    <w:p w:rsidR="00362C46" w:rsidRDefault="00362C46" w:rsidP="00362C46">
      <w:pPr>
        <w:ind w:left="731" w:hanging="11"/>
        <w:jc w:val="both"/>
        <w:rPr>
          <w:rFonts w:cs="Trebuchet MS"/>
          <w:sz w:val="22"/>
          <w:szCs w:val="22"/>
          <w:lang w:eastAsia="en-GB"/>
        </w:rPr>
      </w:pPr>
      <w:r>
        <w:rPr>
          <w:rFonts w:cs="Trebuchet MS"/>
          <w:sz w:val="22"/>
          <w:szCs w:val="22"/>
          <w:lang w:eastAsia="en-GB"/>
        </w:rPr>
        <w:t>API: Approved Plans</w:t>
      </w:r>
    </w:p>
    <w:p w:rsidR="00362C46" w:rsidRDefault="00560821" w:rsidP="00362C46">
      <w:pPr>
        <w:ind w:left="731" w:hanging="11"/>
        <w:jc w:val="both"/>
        <w:rPr>
          <w:rFonts w:cs="Trebuchet MS"/>
          <w:sz w:val="22"/>
          <w:szCs w:val="22"/>
          <w:lang w:eastAsia="en-GB"/>
        </w:rPr>
      </w:pPr>
      <w:r>
        <w:rPr>
          <w:rFonts w:cs="Trebuchet MS"/>
          <w:sz w:val="22"/>
          <w:szCs w:val="22"/>
          <w:lang w:eastAsia="en-GB"/>
        </w:rPr>
        <w:t>M2: Materials as specified</w:t>
      </w:r>
    </w:p>
    <w:p w:rsidR="00362C46" w:rsidRPr="006511AF" w:rsidRDefault="00362C46" w:rsidP="00362C46">
      <w:pPr>
        <w:ind w:left="731" w:hanging="11"/>
        <w:jc w:val="both"/>
        <w:rPr>
          <w:rFonts w:cs="Trebuchet MS"/>
          <w:sz w:val="22"/>
          <w:szCs w:val="22"/>
          <w:lang w:eastAsia="en-GB"/>
        </w:rPr>
      </w:pPr>
      <w:r>
        <w:rPr>
          <w:rFonts w:cs="Trebuchet MS"/>
          <w:sz w:val="22"/>
          <w:szCs w:val="22"/>
          <w:lang w:eastAsia="en-GB"/>
        </w:rPr>
        <w:t>TL1: Time limit standards</w:t>
      </w:r>
    </w:p>
    <w:sectPr w:rsidR="00362C46" w:rsidRPr="006511A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7D4" w:rsidRDefault="001247D4">
      <w:r>
        <w:separator/>
      </w:r>
    </w:p>
  </w:endnote>
  <w:endnote w:type="continuationSeparator" w:id="0">
    <w:p w:rsidR="001247D4" w:rsidRDefault="0012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7D4" w:rsidRDefault="001247D4">
      <w:r>
        <w:separator/>
      </w:r>
    </w:p>
  </w:footnote>
  <w:footnote w:type="continuationSeparator" w:id="0">
    <w:p w:rsidR="001247D4" w:rsidRDefault="00124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33" w:rsidRDefault="000E4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5F4DBB"/>
    <w:multiLevelType w:val="hybridMultilevel"/>
    <w:tmpl w:val="2834D3F6"/>
    <w:lvl w:ilvl="0" w:tplc="224C309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3"/>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2B4D"/>
    <w:rsid w:val="000E4A33"/>
    <w:rsid w:val="00114E41"/>
    <w:rsid w:val="001247D4"/>
    <w:rsid w:val="00140751"/>
    <w:rsid w:val="002856CA"/>
    <w:rsid w:val="00362C46"/>
    <w:rsid w:val="004731EB"/>
    <w:rsid w:val="00560821"/>
    <w:rsid w:val="00607A91"/>
    <w:rsid w:val="006671B2"/>
    <w:rsid w:val="0093253B"/>
    <w:rsid w:val="009A0D58"/>
    <w:rsid w:val="00A81F1B"/>
    <w:rsid w:val="00C13EEA"/>
    <w:rsid w:val="00C27073"/>
    <w:rsid w:val="00D0389F"/>
    <w:rsid w:val="00D97697"/>
    <w:rsid w:val="00DF0589"/>
    <w:rsid w:val="00F93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CA982D9"/>
  <w15:chartTrackingRefBased/>
  <w15:docId w15:val="{BD041660-64A9-4F1E-B3A3-A04D94EC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2022-11-11T18:59:00Z</dcterms:created>
  <dcterms:modified xsi:type="dcterms:W3CDTF">2022-11-11T18:59:00Z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