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8C553"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DELEGATED APPLICATION REPORT</w:t>
      </w:r>
      <w:r w:rsidRPr="00FF1580">
        <w:rPr>
          <w:rFonts w:ascii="Trebuchet MS" w:eastAsia="Times New Roman" w:hAnsi="Trebuchet MS" w:cs="Times New Roman"/>
          <w:b/>
          <w:color w:val="000000"/>
          <w:sz w:val="24"/>
          <w:szCs w:val="24"/>
        </w:rPr>
        <w:tab/>
      </w:r>
      <w:r w:rsidRPr="00FF1580">
        <w:rPr>
          <w:rFonts w:ascii="Trebuchet MS" w:eastAsia="Times New Roman" w:hAnsi="Trebuchet MS" w:cs="Times New Roman"/>
          <w:b/>
          <w:color w:val="000000"/>
          <w:sz w:val="24"/>
          <w:szCs w:val="24"/>
        </w:rPr>
        <w:tab/>
      </w:r>
      <w:r w:rsidRPr="00FF1580">
        <w:rPr>
          <w:rFonts w:ascii="Trebuchet MS" w:eastAsia="Times New Roman" w:hAnsi="Trebuchet MS" w:cs="Times New Roman"/>
          <w:b/>
          <w:color w:val="000000"/>
          <w:sz w:val="24"/>
          <w:szCs w:val="24"/>
        </w:rPr>
        <w:tab/>
      </w:r>
    </w:p>
    <w:p w14:paraId="2896CC88"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p>
    <w:p w14:paraId="3C314CE8"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 xml:space="preserve">Target Date: </w:t>
      </w:r>
      <w:r w:rsidRPr="00FF1580">
        <w:rPr>
          <w:rFonts w:ascii="Trebuchet MS" w:eastAsia="Times New Roman" w:hAnsi="Trebuchet MS" w:cs="Times New Roman"/>
          <w:color w:val="000000"/>
          <w:sz w:val="24"/>
          <w:szCs w:val="24"/>
        </w:rPr>
        <w:t>23/12/2022</w:t>
      </w:r>
      <w:r w:rsidRPr="00FF1580">
        <w:rPr>
          <w:rFonts w:ascii="Trebuchet MS" w:eastAsia="Times New Roman" w:hAnsi="Trebuchet MS" w:cs="Times New Roman"/>
          <w:color w:val="000000"/>
          <w:sz w:val="24"/>
          <w:szCs w:val="24"/>
        </w:rPr>
        <w:tab/>
      </w:r>
      <w:r w:rsidRPr="00FF1580">
        <w:rPr>
          <w:rFonts w:ascii="Trebuchet MS" w:eastAsia="Times New Roman" w:hAnsi="Trebuchet MS" w:cs="Times New Roman"/>
          <w:color w:val="000000"/>
          <w:sz w:val="24"/>
          <w:szCs w:val="24"/>
        </w:rPr>
        <w:tab/>
      </w:r>
      <w:r w:rsidRPr="00FF1580">
        <w:rPr>
          <w:rFonts w:ascii="Trebuchet MS" w:eastAsia="Times New Roman" w:hAnsi="Trebuchet MS" w:cs="Times New Roman"/>
          <w:color w:val="000000"/>
          <w:sz w:val="24"/>
          <w:szCs w:val="24"/>
        </w:rPr>
        <w:tab/>
      </w:r>
      <w:r w:rsidRPr="00FF1580">
        <w:rPr>
          <w:rFonts w:ascii="Trebuchet MS" w:eastAsia="Times New Roman" w:hAnsi="Trebuchet MS" w:cs="Times New Roman"/>
          <w:color w:val="000000"/>
          <w:sz w:val="24"/>
          <w:szCs w:val="24"/>
        </w:rPr>
        <w:tab/>
      </w:r>
    </w:p>
    <w:p w14:paraId="4A602F6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7077B6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b/>
          <w:color w:val="000000"/>
          <w:sz w:val="24"/>
          <w:szCs w:val="24"/>
        </w:rPr>
        <w:t>Application No:</w:t>
      </w:r>
      <w:r w:rsidRPr="00FF1580">
        <w:rPr>
          <w:rFonts w:ascii="Trebuchet MS" w:eastAsia="Times New Roman" w:hAnsi="Trebuchet MS" w:cs="Times New Roman"/>
          <w:color w:val="000000"/>
          <w:sz w:val="24"/>
          <w:szCs w:val="24"/>
        </w:rPr>
        <w:t xml:space="preserve"> 221613/FUL</w:t>
      </w:r>
    </w:p>
    <w:p w14:paraId="2516EBD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b/>
          <w:color w:val="000000"/>
          <w:sz w:val="24"/>
          <w:szCs w:val="24"/>
        </w:rPr>
        <w:t xml:space="preserve">Address: </w:t>
      </w:r>
      <w:r w:rsidRPr="00FF1580">
        <w:rPr>
          <w:rFonts w:ascii="Trebuchet MS" w:eastAsia="Times New Roman" w:hAnsi="Trebuchet MS" w:cs="Times New Roman"/>
          <w:color w:val="000000"/>
          <w:sz w:val="24"/>
          <w:szCs w:val="24"/>
        </w:rPr>
        <w:t>5 Clent Road, Reading</w:t>
      </w:r>
    </w:p>
    <w:p w14:paraId="7B62C935"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b/>
          <w:color w:val="000000"/>
          <w:sz w:val="24"/>
          <w:szCs w:val="24"/>
          <w:lang w:eastAsia="en-GB"/>
        </w:rPr>
        <w:t xml:space="preserve">Proposal: </w:t>
      </w:r>
      <w:r w:rsidRPr="00FF1580">
        <w:rPr>
          <w:rFonts w:ascii="Trebuchet MS" w:eastAsia="Times New Roman" w:hAnsi="Trebuchet MS" w:cs="Courier New"/>
          <w:color w:val="000000"/>
          <w:sz w:val="24"/>
          <w:szCs w:val="24"/>
          <w:lang w:eastAsia="en-GB"/>
        </w:rPr>
        <w:t>Retrospective application for conversion of a garage to a one bedroom</w:t>
      </w:r>
    </w:p>
    <w:p w14:paraId="17CDED3E"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color w:val="000000"/>
          <w:sz w:val="24"/>
          <w:szCs w:val="24"/>
          <w:lang w:eastAsia="en-GB"/>
        </w:rPr>
        <w:t>dwelling</w:t>
      </w:r>
    </w:p>
    <w:p w14:paraId="52132815"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b/>
          <w:color w:val="000000"/>
          <w:sz w:val="24"/>
          <w:szCs w:val="24"/>
          <w:lang w:eastAsia="en-GB"/>
        </w:rPr>
        <w:t xml:space="preserve">Case Officer: </w:t>
      </w:r>
      <w:r w:rsidRPr="00FF1580">
        <w:rPr>
          <w:rFonts w:ascii="Trebuchet MS" w:eastAsia="Times New Roman" w:hAnsi="Trebuchet MS" w:cs="Courier New"/>
          <w:color w:val="000000"/>
          <w:sz w:val="24"/>
          <w:szCs w:val="24"/>
          <w:lang w:eastAsia="en-GB"/>
        </w:rPr>
        <w:t>Claire Ringwood</w:t>
      </w:r>
    </w:p>
    <w:p w14:paraId="43F58F30" w14:textId="77777777" w:rsidR="00FF1580" w:rsidRPr="00FF1580" w:rsidRDefault="00FF1580" w:rsidP="00FF1580">
      <w:pPr>
        <w:spacing w:after="0" w:line="240" w:lineRule="auto"/>
        <w:ind w:hanging="1701"/>
        <w:jc w:val="both"/>
        <w:rPr>
          <w:rFonts w:ascii="Trebuchet MS" w:eastAsia="Times New Roman" w:hAnsi="Trebuchet MS" w:cs="Times New Roman"/>
          <w:color w:val="000000"/>
          <w:sz w:val="24"/>
          <w:szCs w:val="24"/>
          <w:u w:val="single"/>
        </w:rPr>
      </w:pPr>
    </w:p>
    <w:p w14:paraId="3E82EAF2" w14:textId="77777777" w:rsidR="00FF1580" w:rsidRPr="00FF1580" w:rsidRDefault="00FF1580" w:rsidP="00FF1580">
      <w:pPr>
        <w:keepNext/>
        <w:pBdr>
          <w:top w:val="single" w:sz="4" w:space="1" w:color="auto"/>
        </w:pBdr>
        <w:spacing w:after="0" w:line="240" w:lineRule="auto"/>
        <w:jc w:val="both"/>
        <w:outlineLvl w:val="1"/>
        <w:rPr>
          <w:rFonts w:ascii="Trebuchet MS" w:eastAsia="Times New Roman" w:hAnsi="Trebuchet MS" w:cs="Times New Roman"/>
          <w:b/>
          <w:color w:val="000000"/>
          <w:sz w:val="24"/>
          <w:szCs w:val="24"/>
        </w:rPr>
      </w:pPr>
    </w:p>
    <w:p w14:paraId="3F7C1CD5" w14:textId="77777777" w:rsidR="00FF1580" w:rsidRPr="00FF1580" w:rsidRDefault="00FF1580" w:rsidP="00FF1580">
      <w:pPr>
        <w:keepNext/>
        <w:pBdr>
          <w:top w:val="single" w:sz="4" w:space="1" w:color="auto"/>
        </w:pBdr>
        <w:spacing w:after="0" w:line="240" w:lineRule="auto"/>
        <w:jc w:val="both"/>
        <w:outlineLvl w:val="1"/>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 xml:space="preserve">Introduction </w:t>
      </w:r>
    </w:p>
    <w:p w14:paraId="176AE5D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AFFD6AB"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The application site is a </w:t>
      </w:r>
      <w:proofErr w:type="gramStart"/>
      <w:r w:rsidRPr="00FF1580">
        <w:rPr>
          <w:rFonts w:ascii="Trebuchet MS" w:eastAsia="Times New Roman" w:hAnsi="Trebuchet MS" w:cs="Times New Roman"/>
          <w:color w:val="000000"/>
          <w:sz w:val="24"/>
          <w:szCs w:val="24"/>
        </w:rPr>
        <w:t>two storey</w:t>
      </w:r>
      <w:proofErr w:type="gramEnd"/>
      <w:r w:rsidRPr="00FF1580">
        <w:rPr>
          <w:rFonts w:ascii="Trebuchet MS" w:eastAsia="Times New Roman" w:hAnsi="Trebuchet MS" w:cs="Times New Roman"/>
          <w:color w:val="000000"/>
          <w:sz w:val="24"/>
          <w:szCs w:val="24"/>
        </w:rPr>
        <w:t xml:space="preserve"> semi-detached property in a cul-de-sac position with a single storey rear extension and a detached garage.  The detached garage is currently in use as a </w:t>
      </w:r>
      <w:proofErr w:type="gramStart"/>
      <w:r w:rsidRPr="00FF1580">
        <w:rPr>
          <w:rFonts w:ascii="Trebuchet MS" w:eastAsia="Times New Roman" w:hAnsi="Trebuchet MS" w:cs="Times New Roman"/>
          <w:color w:val="000000"/>
          <w:sz w:val="24"/>
          <w:szCs w:val="24"/>
        </w:rPr>
        <w:t>one bedroom</w:t>
      </w:r>
      <w:proofErr w:type="gramEnd"/>
      <w:r w:rsidRPr="00FF1580">
        <w:rPr>
          <w:rFonts w:ascii="Trebuchet MS" w:eastAsia="Times New Roman" w:hAnsi="Trebuchet MS" w:cs="Times New Roman"/>
          <w:color w:val="000000"/>
          <w:sz w:val="24"/>
          <w:szCs w:val="24"/>
        </w:rPr>
        <w:t xml:space="preserve"> dwelling and there are other outbuildings to the rear.  The surrounding area is predominantly residential.</w:t>
      </w:r>
    </w:p>
    <w:p w14:paraId="43DB6A7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539012F3"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Proposal</w:t>
      </w:r>
    </w:p>
    <w:p w14:paraId="5933C533"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322115F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The application is for the retrospective conversion of the garage to a one-bedroom dwelling.  </w:t>
      </w:r>
    </w:p>
    <w:p w14:paraId="3A544F71"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F786A0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No internal or external alterations are proposed.  </w:t>
      </w:r>
    </w:p>
    <w:p w14:paraId="59898A4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0C8AB4EA" w14:textId="77777777" w:rsidR="00FF1580" w:rsidRPr="00FF1580" w:rsidRDefault="00FF1580" w:rsidP="00FF1580">
      <w:pPr>
        <w:spacing w:after="0" w:line="240" w:lineRule="auto"/>
        <w:jc w:val="both"/>
        <w:rPr>
          <w:rFonts w:ascii="Trebuchet MS" w:eastAsia="Times New Roman" w:hAnsi="Trebuchet MS" w:cs="Courier New"/>
          <w:b/>
          <w:color w:val="000000"/>
          <w:sz w:val="24"/>
          <w:szCs w:val="24"/>
          <w:lang w:eastAsia="en-GB"/>
        </w:rPr>
      </w:pPr>
      <w:r w:rsidRPr="00FF1580">
        <w:rPr>
          <w:rFonts w:ascii="Trebuchet MS" w:eastAsia="Times New Roman" w:hAnsi="Trebuchet MS" w:cs="Courier New"/>
          <w:b/>
          <w:color w:val="000000"/>
          <w:sz w:val="24"/>
          <w:szCs w:val="24"/>
          <w:lang w:eastAsia="en-GB"/>
        </w:rPr>
        <w:t>Plans Considered</w:t>
      </w:r>
    </w:p>
    <w:p w14:paraId="404B36CC"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p>
    <w:p w14:paraId="2081F605"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color w:val="000000"/>
          <w:sz w:val="24"/>
          <w:szCs w:val="24"/>
          <w:lang w:eastAsia="en-GB"/>
        </w:rPr>
        <w:t>The agent submitted the following information, received on 28</w:t>
      </w:r>
      <w:r w:rsidRPr="00FF1580">
        <w:rPr>
          <w:rFonts w:ascii="Trebuchet MS" w:eastAsia="Times New Roman" w:hAnsi="Trebuchet MS" w:cs="Courier New"/>
          <w:color w:val="000000"/>
          <w:sz w:val="24"/>
          <w:szCs w:val="24"/>
          <w:vertAlign w:val="superscript"/>
          <w:lang w:eastAsia="en-GB"/>
        </w:rPr>
        <w:t>th</w:t>
      </w:r>
      <w:r w:rsidRPr="00FF1580">
        <w:rPr>
          <w:rFonts w:ascii="Trebuchet MS" w:eastAsia="Times New Roman" w:hAnsi="Trebuchet MS" w:cs="Courier New"/>
          <w:color w:val="000000"/>
          <w:sz w:val="24"/>
          <w:szCs w:val="24"/>
          <w:lang w:eastAsia="en-GB"/>
        </w:rPr>
        <w:t xml:space="preserve"> October 2022:</w:t>
      </w:r>
    </w:p>
    <w:p w14:paraId="34C7E35A"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color w:val="000000"/>
          <w:sz w:val="24"/>
          <w:szCs w:val="24"/>
          <w:lang w:eastAsia="en-GB"/>
        </w:rPr>
        <w:t>Location Plan</w:t>
      </w:r>
    </w:p>
    <w:p w14:paraId="7369BCBF" w14:textId="77777777" w:rsidR="00FF1580" w:rsidRPr="00FF1580" w:rsidRDefault="00FF1580" w:rsidP="00FF1580">
      <w:pPr>
        <w:spacing w:after="0" w:line="240" w:lineRule="auto"/>
        <w:jc w:val="both"/>
        <w:rPr>
          <w:rFonts w:ascii="Trebuchet MS" w:eastAsia="Times New Roman" w:hAnsi="Trebuchet MS" w:cs="Courier New"/>
          <w:color w:val="000000"/>
          <w:sz w:val="24"/>
          <w:szCs w:val="24"/>
          <w:lang w:eastAsia="en-GB"/>
        </w:rPr>
      </w:pPr>
      <w:r w:rsidRPr="00FF1580">
        <w:rPr>
          <w:rFonts w:ascii="Trebuchet MS" w:eastAsia="Times New Roman" w:hAnsi="Trebuchet MS" w:cs="Courier New"/>
          <w:color w:val="000000"/>
          <w:sz w:val="24"/>
          <w:szCs w:val="24"/>
          <w:lang w:eastAsia="en-GB"/>
        </w:rPr>
        <w:t>Block Plan</w:t>
      </w:r>
    </w:p>
    <w:p w14:paraId="3A7AEF6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Drawing No: 9107-121 Rev 1 – Prior to Retrospective – Floor Plan</w:t>
      </w:r>
    </w:p>
    <w:p w14:paraId="193F6B1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Drawing No: 9107-121 Rev 1 – 01 Floor Plan </w:t>
      </w:r>
    </w:p>
    <w:p w14:paraId="30FBD99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8D79BAC"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 xml:space="preserve">Relevant planning History </w:t>
      </w:r>
    </w:p>
    <w:p w14:paraId="127BEE3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376DF6C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95/00763/FUL (Civica Ref: 950470) – Single storey rear extension.  Permitted 21/11/1995.</w:t>
      </w:r>
    </w:p>
    <w:p w14:paraId="10A087A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9820D2D"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Consultation Responses</w:t>
      </w:r>
    </w:p>
    <w:p w14:paraId="0D4077E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D458D3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 xml:space="preserve">Transport </w:t>
      </w:r>
    </w:p>
    <w:p w14:paraId="7048950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B8A4A8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As the proposed annexe is detached from the main dwelling and independently accessible, clarification is required if the annexe is an extension to the living arrangements of the main house or a unit to be commercially let. If the latter applies then in accordance with the adopted Parking Standards and Design SPD, the newly created 1 bedroom annex would be required to provide parking for 1 car which should be independently accessible from those from the main dwelling and should be illustrated in amended plans, as well as the retention of 2 parking spaces for the existing property. The potential of a scenario for a commercial let dwelling can be </w:t>
      </w:r>
      <w:r w:rsidRPr="00FF1580">
        <w:rPr>
          <w:rFonts w:ascii="Trebuchet MS" w:eastAsia="Times New Roman" w:hAnsi="Trebuchet MS" w:cs="Times New Roman"/>
          <w:color w:val="000000"/>
          <w:sz w:val="24"/>
          <w:szCs w:val="24"/>
        </w:rPr>
        <w:lastRenderedPageBreak/>
        <w:t>controlled via the application of the condition stated below. However, as the loss of the garage will result in the loss of parking for No.5, 2 parking spaces for the existing dwelling should be provided and illustrated on plans, it should be noted that no part of a vehicle is permitted to overhang any part of the public footway. Please ask the applicant to address the comments above, including plan illustrating parking.</w:t>
      </w:r>
    </w:p>
    <w:p w14:paraId="7359987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F3B30B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RBC Public Sector Housing</w:t>
      </w:r>
    </w:p>
    <w:p w14:paraId="2CC9103C"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38809E45" w14:textId="77777777" w:rsidR="00FF1580" w:rsidRPr="00FF1580" w:rsidRDefault="00FF1580" w:rsidP="00FF1580">
      <w:pPr>
        <w:spacing w:after="0" w:line="240" w:lineRule="auto"/>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There are no records on our system for the garage being occupied as a dwelling.</w:t>
      </w:r>
    </w:p>
    <w:p w14:paraId="39449A0E" w14:textId="77777777" w:rsidR="00FF1580" w:rsidRPr="00FF1580" w:rsidRDefault="00FF1580" w:rsidP="00FF1580">
      <w:pPr>
        <w:spacing w:after="0" w:line="240" w:lineRule="auto"/>
        <w:jc w:val="both"/>
        <w:rPr>
          <w:rFonts w:ascii="Trebuchet MS" w:eastAsia="Times New Roman" w:hAnsi="Trebuchet MS" w:cs="Calibri"/>
          <w:color w:val="000000"/>
          <w:sz w:val="24"/>
          <w:szCs w:val="24"/>
        </w:rPr>
      </w:pPr>
    </w:p>
    <w:p w14:paraId="17D6CE86" w14:textId="77777777" w:rsidR="00FF1580" w:rsidRPr="00FF1580" w:rsidRDefault="00FF1580" w:rsidP="00FF1580">
      <w:pPr>
        <w:spacing w:after="0" w:line="240" w:lineRule="auto"/>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Having looked at the application documents and floor plans, I make the following comments:</w:t>
      </w:r>
    </w:p>
    <w:p w14:paraId="26BDB071" w14:textId="77777777" w:rsidR="00FF1580" w:rsidRPr="00FF1580" w:rsidRDefault="00FF1580" w:rsidP="00FF1580">
      <w:pPr>
        <w:spacing w:after="0" w:line="240" w:lineRule="auto"/>
        <w:jc w:val="both"/>
        <w:rPr>
          <w:rFonts w:ascii="Trebuchet MS" w:eastAsia="Times New Roman" w:hAnsi="Trebuchet MS" w:cs="Calibri"/>
          <w:color w:val="000000"/>
          <w:sz w:val="24"/>
          <w:szCs w:val="24"/>
        </w:rPr>
      </w:pPr>
    </w:p>
    <w:p w14:paraId="562696A6" w14:textId="77777777" w:rsidR="00FF1580" w:rsidRPr="00FF1580" w:rsidRDefault="00FF1580" w:rsidP="00FF1580">
      <w:pPr>
        <w:numPr>
          <w:ilvl w:val="0"/>
          <w:numId w:val="39"/>
        </w:numPr>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According to the measurements of the bedroom, the floor area is approximately 7.43 square metres and is only adequate for the occupation of one person.</w:t>
      </w:r>
    </w:p>
    <w:p w14:paraId="216E2F9B" w14:textId="77777777" w:rsidR="00FF1580" w:rsidRPr="00FF1580" w:rsidRDefault="00FF1580" w:rsidP="00FF1580">
      <w:pPr>
        <w:numPr>
          <w:ilvl w:val="0"/>
          <w:numId w:val="39"/>
        </w:numPr>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Advice from Building Control should be sought for the following and an application to be made for regularisation.</w:t>
      </w:r>
    </w:p>
    <w:p w14:paraId="1B2503DC" w14:textId="77777777" w:rsidR="00FF1580" w:rsidRPr="00FF1580" w:rsidRDefault="00FF1580" w:rsidP="00FF1580">
      <w:pPr>
        <w:numPr>
          <w:ilvl w:val="0"/>
          <w:numId w:val="41"/>
        </w:numPr>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Roof and wall construction and insulation should comply with current Building Regulations and meet the minimum requirements to reduce the risk of a Category 1 hazard of Excess Cold under the Housing Health and Safety Rating System (HHSRS), Housing Act 2004.</w:t>
      </w:r>
    </w:p>
    <w:p w14:paraId="7611CB63" w14:textId="77777777" w:rsidR="00FF1580" w:rsidRPr="00FF1580" w:rsidRDefault="00FF1580" w:rsidP="00FF1580">
      <w:pPr>
        <w:numPr>
          <w:ilvl w:val="0"/>
          <w:numId w:val="41"/>
        </w:numPr>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According to the proposed floor plans, there are no windows to the small lounge and bedroom.  Windows are required to both rooms for lighting and ventilation.  Inadequate lighting will lead to a hazard of Lighting and inadequate ventilation will lead to a hazard of Damp and Mould under HHSRS.</w:t>
      </w:r>
    </w:p>
    <w:p w14:paraId="23B48536" w14:textId="77777777" w:rsidR="00FF1580" w:rsidRPr="00FF1580" w:rsidRDefault="00FF1580" w:rsidP="00FF1580">
      <w:pPr>
        <w:numPr>
          <w:ilvl w:val="0"/>
          <w:numId w:val="41"/>
        </w:numPr>
        <w:jc w:val="both"/>
        <w:rPr>
          <w:rFonts w:ascii="Trebuchet MS" w:eastAsia="Times New Roman" w:hAnsi="Trebuchet MS" w:cs="Calibri"/>
          <w:color w:val="000000"/>
          <w:sz w:val="24"/>
          <w:szCs w:val="24"/>
        </w:rPr>
      </w:pPr>
      <w:r w:rsidRPr="00FF1580">
        <w:rPr>
          <w:rFonts w:ascii="Trebuchet MS" w:eastAsia="Times New Roman" w:hAnsi="Trebuchet MS" w:cs="Calibri"/>
          <w:color w:val="000000"/>
          <w:sz w:val="24"/>
          <w:szCs w:val="24"/>
        </w:rPr>
        <w:t xml:space="preserve">There is a hazard of the Fire under HHSRS with the current layout as escape from the bedroom is via two internal risk rooms (lounge and kitchen).  To reduce the risk of a Category 1 Fire hazard, fire safety will need to comply with Building Regulations.  The windows that are required to be installed in the bedroom and living room will need to meet the requirements of an escape window.  In addition, a </w:t>
      </w:r>
      <w:proofErr w:type="gramStart"/>
      <w:r w:rsidRPr="00FF1580">
        <w:rPr>
          <w:rFonts w:ascii="Trebuchet MS" w:eastAsia="Times New Roman" w:hAnsi="Trebuchet MS" w:cs="Calibri"/>
          <w:color w:val="000000"/>
          <w:sz w:val="24"/>
          <w:szCs w:val="24"/>
        </w:rPr>
        <w:t>mains</w:t>
      </w:r>
      <w:proofErr w:type="gramEnd"/>
      <w:r w:rsidRPr="00FF1580">
        <w:rPr>
          <w:rFonts w:ascii="Trebuchet MS" w:eastAsia="Times New Roman" w:hAnsi="Trebuchet MS" w:cs="Calibri"/>
          <w:color w:val="000000"/>
          <w:sz w:val="24"/>
          <w:szCs w:val="24"/>
        </w:rPr>
        <w:t xml:space="preserve"> wired fire alarm system will need to be installed with a heat detector in the kitchen and smoke detector in the lounge.</w:t>
      </w:r>
    </w:p>
    <w:p w14:paraId="5F671FF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2430FAB"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 xml:space="preserve">Environmental Protection </w:t>
      </w:r>
    </w:p>
    <w:p w14:paraId="31BCD60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346BD29D" w14:textId="77777777" w:rsidR="00FF1580" w:rsidRPr="00FF1580" w:rsidRDefault="00FF1580" w:rsidP="00FF1580">
      <w:pPr>
        <w:autoSpaceDE w:val="0"/>
        <w:autoSpaceDN w:val="0"/>
        <w:adjustRightInd w:val="0"/>
        <w:spacing w:after="0" w:line="240" w:lineRule="auto"/>
        <w:jc w:val="both"/>
        <w:rPr>
          <w:rFonts w:ascii="Trebuchet MS" w:eastAsia="Times New Roman" w:hAnsi="Trebuchet MS" w:cs="Trebuchet MS"/>
          <w:color w:val="000000"/>
          <w:sz w:val="24"/>
          <w:szCs w:val="24"/>
          <w:lang w:eastAsia="en-GB"/>
        </w:rPr>
      </w:pPr>
      <w:r w:rsidRPr="00FF1580">
        <w:rPr>
          <w:rFonts w:ascii="Trebuchet MS" w:eastAsia="Times New Roman" w:hAnsi="Trebuchet MS" w:cs="Trebuchet MS"/>
          <w:color w:val="000000"/>
          <w:sz w:val="24"/>
          <w:szCs w:val="24"/>
          <w:lang w:eastAsia="en-GB"/>
        </w:rPr>
        <w:t xml:space="preserve">The development lies on the site of a former garage which has the potential to have caused contaminated land.  </w:t>
      </w:r>
      <w:r w:rsidRPr="00FF1580">
        <w:rPr>
          <w:rFonts w:ascii="Segoe UI" w:eastAsia="Times New Roman" w:hAnsi="Segoe UI" w:cs="Segoe UI"/>
          <w:color w:val="000000"/>
          <w:sz w:val="24"/>
          <w:szCs w:val="24"/>
          <w:shd w:val="clear" w:color="auto" w:fill="FFFFFF"/>
        </w:rPr>
        <w:t>The proposal may introduce new pollutant linkages between contaminated land and sensitive receptors at the site</w:t>
      </w:r>
      <w:r w:rsidRPr="00FF1580">
        <w:rPr>
          <w:rFonts w:ascii="Trebuchet MS" w:eastAsia="Times New Roman" w:hAnsi="Trebuchet MS" w:cs="Trebuchet MS"/>
          <w:color w:val="000000"/>
          <w:sz w:val="24"/>
          <w:szCs w:val="24"/>
          <w:lang w:eastAsia="en-GB"/>
        </w:rPr>
        <w:t>.</w:t>
      </w:r>
    </w:p>
    <w:p w14:paraId="277BA57B" w14:textId="77777777" w:rsidR="00FF1580" w:rsidRPr="00FF1580" w:rsidRDefault="00FF1580" w:rsidP="00FF1580">
      <w:pPr>
        <w:autoSpaceDE w:val="0"/>
        <w:autoSpaceDN w:val="0"/>
        <w:adjustRightInd w:val="0"/>
        <w:spacing w:after="0" w:line="240" w:lineRule="auto"/>
        <w:jc w:val="both"/>
        <w:rPr>
          <w:rFonts w:ascii="Trebuchet MS" w:eastAsia="Times New Roman" w:hAnsi="Trebuchet MS" w:cs="Trebuchet MS"/>
          <w:color w:val="000000"/>
          <w:sz w:val="24"/>
          <w:szCs w:val="24"/>
          <w:lang w:eastAsia="en-GB"/>
        </w:rPr>
      </w:pPr>
    </w:p>
    <w:p w14:paraId="4D882E5C" w14:textId="77777777" w:rsidR="00FF1580" w:rsidRPr="00FF1580" w:rsidRDefault="00FF1580" w:rsidP="00FF1580">
      <w:pPr>
        <w:autoSpaceDE w:val="0"/>
        <w:autoSpaceDN w:val="0"/>
        <w:adjustRightInd w:val="0"/>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lang w:val="en-US"/>
        </w:rPr>
        <w:t xml:space="preserve">The developer is responsible for ensuring that </w:t>
      </w:r>
      <w:r w:rsidRPr="00FF1580">
        <w:rPr>
          <w:rFonts w:ascii="Trebuchet MS" w:eastAsia="Times New Roman" w:hAnsi="Trebuchet MS" w:cs="Times New Roman"/>
          <w:color w:val="000000"/>
          <w:sz w:val="24"/>
          <w:szCs w:val="24"/>
        </w:rPr>
        <w:t xml:space="preserve">development is safe and suitable for use for the intended purpose or can be made so by remedial action. </w:t>
      </w:r>
    </w:p>
    <w:p w14:paraId="7C674E9E" w14:textId="77777777" w:rsidR="00FF1580" w:rsidRPr="00FF1580" w:rsidRDefault="00FF1580" w:rsidP="00FF1580">
      <w:pPr>
        <w:autoSpaceDE w:val="0"/>
        <w:autoSpaceDN w:val="0"/>
        <w:adjustRightInd w:val="0"/>
        <w:spacing w:after="0" w:line="240" w:lineRule="auto"/>
        <w:jc w:val="both"/>
        <w:rPr>
          <w:rFonts w:ascii="Trebuchet MS" w:eastAsia="Times New Roman" w:hAnsi="Trebuchet MS" w:cs="Times New Roman"/>
          <w:color w:val="000000"/>
          <w:sz w:val="24"/>
          <w:szCs w:val="24"/>
        </w:rPr>
      </w:pPr>
    </w:p>
    <w:p w14:paraId="22400361" w14:textId="77777777" w:rsidR="00FF1580" w:rsidRPr="00FF1580" w:rsidRDefault="00FF1580" w:rsidP="00FF1580">
      <w:pPr>
        <w:autoSpaceDE w:val="0"/>
        <w:autoSpaceDN w:val="0"/>
        <w:adjustRightInd w:val="0"/>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rebuchet MS"/>
          <w:color w:val="000000"/>
          <w:sz w:val="24"/>
          <w:szCs w:val="24"/>
          <w:lang w:eastAsia="en-GB"/>
        </w:rPr>
        <w:lastRenderedPageBreak/>
        <w:t>A contaminated land assessment should be submitted to give an indication as to the likely risks and to determine whether the site is suitable for the proposed use or can be made so by remedial action.  These matters can be addressed by way of suitable conditions.</w:t>
      </w:r>
    </w:p>
    <w:p w14:paraId="0CCE5D02"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3D2D51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 xml:space="preserve">Planning Enforcement </w:t>
      </w:r>
    </w:p>
    <w:p w14:paraId="2A46AD00"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467AF51"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No records for this property.</w:t>
      </w:r>
    </w:p>
    <w:p w14:paraId="48BD99DB"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CC441E6" w14:textId="77777777" w:rsidR="00FF1580" w:rsidRPr="00FF1580" w:rsidRDefault="00FF1580" w:rsidP="00FF1580">
      <w:pPr>
        <w:spacing w:after="0" w:line="240" w:lineRule="auto"/>
        <w:jc w:val="both"/>
        <w:rPr>
          <w:rFonts w:ascii="Trebuchet MS" w:eastAsia="Times New Roman" w:hAnsi="Trebuchet MS" w:cs="Times New Roman"/>
          <w:i/>
          <w:iCs/>
          <w:color w:val="000000"/>
          <w:sz w:val="24"/>
          <w:szCs w:val="24"/>
        </w:rPr>
      </w:pPr>
      <w:r w:rsidRPr="00FF1580">
        <w:rPr>
          <w:rFonts w:ascii="Trebuchet MS" w:eastAsia="Times New Roman" w:hAnsi="Trebuchet MS" w:cs="Times New Roman"/>
          <w:i/>
          <w:iCs/>
          <w:color w:val="000000"/>
          <w:sz w:val="24"/>
          <w:szCs w:val="24"/>
        </w:rPr>
        <w:t>Officer Note: Due to the concerns raised in this delegated report with regards to the living conditions of this retrospective application.  Planning Enforcement will be instructed to investigate this matter further.</w:t>
      </w:r>
    </w:p>
    <w:p w14:paraId="0020D82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0710B0C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Properties at 4 and 6 Clent Road and 29-33 (o) </w:t>
      </w:r>
      <w:proofErr w:type="spellStart"/>
      <w:r w:rsidRPr="00FF1580">
        <w:rPr>
          <w:rFonts w:ascii="Trebuchet MS" w:eastAsia="Times New Roman" w:hAnsi="Trebuchet MS" w:cs="Times New Roman"/>
          <w:color w:val="000000"/>
          <w:sz w:val="24"/>
          <w:szCs w:val="24"/>
        </w:rPr>
        <w:t>Bourne</w:t>
      </w:r>
      <w:proofErr w:type="spellEnd"/>
      <w:r w:rsidRPr="00FF1580">
        <w:rPr>
          <w:rFonts w:ascii="Trebuchet MS" w:eastAsia="Times New Roman" w:hAnsi="Trebuchet MS" w:cs="Times New Roman"/>
          <w:color w:val="000000"/>
          <w:sz w:val="24"/>
          <w:szCs w:val="24"/>
        </w:rPr>
        <w:t xml:space="preserve"> Avenue were consulted.  No comments have been received.</w:t>
      </w:r>
    </w:p>
    <w:p w14:paraId="265A71A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highlight w:val="yellow"/>
        </w:rPr>
      </w:pPr>
    </w:p>
    <w:p w14:paraId="76C6CDBA"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Policy Guidance:</w:t>
      </w:r>
    </w:p>
    <w:p w14:paraId="43CF40C2"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00F42F2B" w14:textId="77777777" w:rsidR="00FF1580" w:rsidRPr="00FF1580" w:rsidRDefault="00FF1580" w:rsidP="00FF1580">
      <w:pPr>
        <w:jc w:val="both"/>
        <w:rPr>
          <w:rFonts w:ascii="Trebuchet MS" w:eastAsia="Times New Roman" w:hAnsi="Trebuchet MS" w:cs="Times New Roman"/>
          <w:bCs/>
          <w:color w:val="000000"/>
          <w:sz w:val="24"/>
          <w:szCs w:val="24"/>
        </w:rPr>
      </w:pPr>
      <w:r w:rsidRPr="00FF1580">
        <w:rPr>
          <w:rFonts w:ascii="Trebuchet MS" w:eastAsia="Times New Roman" w:hAnsi="Trebuchet MS" w:cs="Times New Roman"/>
          <w:color w:val="000000"/>
          <w:sz w:val="24"/>
          <w:szCs w:val="24"/>
        </w:rPr>
        <w:t xml:space="preserve">The following </w:t>
      </w:r>
      <w:r w:rsidRPr="00FF1580">
        <w:rPr>
          <w:rFonts w:ascii="Trebuchet MS" w:eastAsia="Times New Roman" w:hAnsi="Trebuchet MS" w:cs="Times New Roman"/>
          <w:bCs/>
          <w:color w:val="000000"/>
          <w:sz w:val="24"/>
          <w:szCs w:val="24"/>
        </w:rPr>
        <w:t>local and national planning policy and guidance is relevant to this application:</w:t>
      </w:r>
    </w:p>
    <w:p w14:paraId="32C22C2F" w14:textId="77777777" w:rsidR="00FF1580" w:rsidRPr="00FF1580" w:rsidRDefault="00FF1580" w:rsidP="00FF1580">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color w:val="000000"/>
          <w:sz w:val="24"/>
          <w:szCs w:val="24"/>
          <w:u w:val="single"/>
        </w:rPr>
      </w:pPr>
      <w:r w:rsidRPr="00FF1580">
        <w:rPr>
          <w:rFonts w:ascii="Trebuchet MS" w:eastAsia="Times New Roman" w:hAnsi="Trebuchet MS" w:cs="Times New Roman"/>
          <w:bCs/>
          <w:color w:val="000000"/>
          <w:sz w:val="24"/>
          <w:szCs w:val="24"/>
          <w:u w:val="single"/>
        </w:rPr>
        <w:t>National Planning Policy Guidance</w:t>
      </w:r>
    </w:p>
    <w:p w14:paraId="5E25DD51" w14:textId="77777777" w:rsidR="00FF1580" w:rsidRPr="00FF1580" w:rsidRDefault="00FF1580" w:rsidP="00FF1580">
      <w:pPr>
        <w:numPr>
          <w:ilvl w:val="0"/>
          <w:numId w:val="34"/>
        </w:numPr>
        <w:overflowPunct w:val="0"/>
        <w:adjustRightInd w:val="0"/>
        <w:contextualSpacing/>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 xml:space="preserve">National Planning Policy Framework (NPPF) </w:t>
      </w:r>
    </w:p>
    <w:p w14:paraId="6DA85463" w14:textId="77777777" w:rsidR="00FF1580" w:rsidRPr="00FF1580" w:rsidRDefault="00FF1580" w:rsidP="00FF1580">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color w:val="000000"/>
          <w:sz w:val="24"/>
          <w:szCs w:val="24"/>
        </w:rPr>
      </w:pPr>
    </w:p>
    <w:p w14:paraId="6DBA47F5"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Reading Borough Local Plan (2019)</w:t>
      </w:r>
    </w:p>
    <w:p w14:paraId="1E6774B9"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CC1 (Presumption in Favour of Sustainable Development)</w:t>
      </w:r>
    </w:p>
    <w:p w14:paraId="01F59449"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CC8 (Safeguarding Amenity)</w:t>
      </w:r>
    </w:p>
    <w:p w14:paraId="4546550A"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H3 (Affordable Housing) </w:t>
      </w:r>
    </w:p>
    <w:p w14:paraId="36393408"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H5 (Standards for New Housing)</w:t>
      </w:r>
    </w:p>
    <w:p w14:paraId="4B8DE7C1"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H8 (Residential Conversions)</w:t>
      </w:r>
    </w:p>
    <w:p w14:paraId="1E00B094"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H10 (Private and Communal Outdoor Space)</w:t>
      </w:r>
    </w:p>
    <w:p w14:paraId="1B82F2F6"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TR3 (Access, Traffic and Highway-Related Matters)</w:t>
      </w:r>
    </w:p>
    <w:p w14:paraId="09AF8F01"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TR5 (Car and Cycle Parking and Electric Vehicle Charging)</w:t>
      </w:r>
    </w:p>
    <w:p w14:paraId="2F0DBF5A"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EN16 (Pollution and Water Resources)</w:t>
      </w:r>
    </w:p>
    <w:p w14:paraId="3D72BD0E"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color w:val="000000"/>
          <w:sz w:val="24"/>
          <w:szCs w:val="24"/>
        </w:rPr>
        <w:tab/>
      </w:r>
    </w:p>
    <w:p w14:paraId="75CBA85C" w14:textId="77777777" w:rsidR="00FF1580" w:rsidRPr="00FF1580" w:rsidRDefault="00FF1580" w:rsidP="00FF1580">
      <w:pPr>
        <w:spacing w:after="0" w:line="240" w:lineRule="auto"/>
        <w:jc w:val="both"/>
        <w:rPr>
          <w:rFonts w:ascii="Trebuchet MS" w:eastAsia="Times New Roman" w:hAnsi="Trebuchet MS" w:cs="Trebuchet MS"/>
          <w:color w:val="000000"/>
          <w:sz w:val="24"/>
          <w:szCs w:val="24"/>
          <w:u w:val="single"/>
          <w:lang w:eastAsia="en-GB"/>
        </w:rPr>
      </w:pPr>
      <w:r w:rsidRPr="00FF1580">
        <w:rPr>
          <w:rFonts w:ascii="Trebuchet MS" w:eastAsia="Times New Roman" w:hAnsi="Trebuchet MS" w:cs="Trebuchet MS"/>
          <w:color w:val="000000"/>
          <w:sz w:val="24"/>
          <w:szCs w:val="24"/>
          <w:u w:val="single"/>
          <w:lang w:eastAsia="en-GB"/>
        </w:rPr>
        <w:t xml:space="preserve">Supplementary Planning Guidance/ Documents:  </w:t>
      </w:r>
    </w:p>
    <w:p w14:paraId="2106CF4E"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Arial"/>
          <w:iCs/>
          <w:color w:val="000000"/>
          <w:sz w:val="24"/>
          <w:szCs w:val="24"/>
        </w:rPr>
      </w:pPr>
      <w:r w:rsidRPr="00FF1580">
        <w:rPr>
          <w:rFonts w:ascii="Trebuchet MS" w:eastAsia="Times New Roman" w:hAnsi="Trebuchet MS" w:cs="Arial"/>
          <w:iCs/>
          <w:color w:val="000000"/>
          <w:sz w:val="24"/>
          <w:szCs w:val="24"/>
        </w:rPr>
        <w:t>Residential Conversions SPD (2013)</w:t>
      </w:r>
    </w:p>
    <w:p w14:paraId="1D4B9CCF"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 xml:space="preserve">Revised Parking Standards and Design SPD (2011) </w:t>
      </w:r>
    </w:p>
    <w:p w14:paraId="78CB70E3"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Planning Obligations under Section 106 (2015)</w:t>
      </w:r>
    </w:p>
    <w:p w14:paraId="2FB69D71"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Affordable Housing (2021)</w:t>
      </w:r>
    </w:p>
    <w:p w14:paraId="0BC2BDF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8FE4BE7" w14:textId="77777777" w:rsidR="00FF1580" w:rsidRPr="00FF1580" w:rsidRDefault="00FF1580" w:rsidP="00FF1580">
      <w:pPr>
        <w:keepNext/>
        <w:spacing w:after="0" w:line="240" w:lineRule="auto"/>
        <w:jc w:val="both"/>
        <w:outlineLvl w:val="1"/>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ASSESSMENT</w:t>
      </w:r>
    </w:p>
    <w:p w14:paraId="5EB2A5F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06961F1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This application is for the retrospective conversion of the garage to a one bedroomed dwelling.  Section A of the Residential Conversions SPD deals with the ‘General Assessment of all Conversions’ (</w:t>
      </w:r>
      <w:proofErr w:type="spellStart"/>
      <w:r w:rsidRPr="00FF1580">
        <w:rPr>
          <w:rFonts w:ascii="Trebuchet MS" w:eastAsia="Times New Roman" w:hAnsi="Trebuchet MS" w:cs="Times New Roman"/>
          <w:color w:val="000000"/>
          <w:sz w:val="24"/>
          <w:szCs w:val="24"/>
        </w:rPr>
        <w:t>i.e</w:t>
      </w:r>
      <w:proofErr w:type="spellEnd"/>
      <w:r w:rsidRPr="00FF1580">
        <w:rPr>
          <w:rFonts w:ascii="Trebuchet MS" w:eastAsia="Times New Roman" w:hAnsi="Trebuchet MS" w:cs="Times New Roman"/>
          <w:color w:val="000000"/>
          <w:sz w:val="24"/>
          <w:szCs w:val="24"/>
        </w:rPr>
        <w:t xml:space="preserve"> from C3 dwellinghouses to flats as well as HMOs.  The SPD sets out </w:t>
      </w:r>
      <w:proofErr w:type="gramStart"/>
      <w:r w:rsidRPr="00FF1580">
        <w:rPr>
          <w:rFonts w:ascii="Trebuchet MS" w:eastAsia="Times New Roman" w:hAnsi="Trebuchet MS" w:cs="Times New Roman"/>
          <w:color w:val="000000"/>
          <w:sz w:val="24"/>
          <w:szCs w:val="24"/>
        </w:rPr>
        <w:t>a number of</w:t>
      </w:r>
      <w:proofErr w:type="gramEnd"/>
      <w:r w:rsidRPr="00FF1580">
        <w:rPr>
          <w:rFonts w:ascii="Trebuchet MS" w:eastAsia="Times New Roman" w:hAnsi="Trebuchet MS" w:cs="Times New Roman"/>
          <w:color w:val="000000"/>
          <w:sz w:val="24"/>
          <w:szCs w:val="24"/>
        </w:rPr>
        <w:t xml:space="preserve"> checklist items and the relevant ones form the basis of the following assessment.  Although the proposal relates to a residential garage and not a residential property, the assessment of the proposal will be the same.</w:t>
      </w:r>
    </w:p>
    <w:p w14:paraId="48349DA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5922FF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lastRenderedPageBreak/>
        <w:t xml:space="preserve">The main issues </w:t>
      </w:r>
      <w:proofErr w:type="gramStart"/>
      <w:r w:rsidRPr="00FF1580">
        <w:rPr>
          <w:rFonts w:ascii="Trebuchet MS" w:eastAsia="Times New Roman" w:hAnsi="Trebuchet MS" w:cs="Times New Roman"/>
          <w:color w:val="000000"/>
          <w:sz w:val="24"/>
          <w:szCs w:val="24"/>
        </w:rPr>
        <w:t>are considered to be</w:t>
      </w:r>
      <w:proofErr w:type="gramEnd"/>
      <w:r w:rsidRPr="00FF1580">
        <w:rPr>
          <w:rFonts w:ascii="Trebuchet MS" w:eastAsia="Times New Roman" w:hAnsi="Trebuchet MS" w:cs="Times New Roman"/>
          <w:color w:val="000000"/>
          <w:sz w:val="24"/>
          <w:szCs w:val="24"/>
        </w:rPr>
        <w:t xml:space="preserve">: </w:t>
      </w:r>
    </w:p>
    <w:p w14:paraId="74471E6C"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7671390"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Policy background</w:t>
      </w:r>
    </w:p>
    <w:p w14:paraId="78665EBD"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Principle of the retrospective change of use </w:t>
      </w:r>
    </w:p>
    <w:p w14:paraId="0A4D7A4A"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Mixed and sustainable communities</w:t>
      </w:r>
    </w:p>
    <w:p w14:paraId="595925A6"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Impact of the retrospective change of use on amenity of future residents of the property</w:t>
      </w:r>
    </w:p>
    <w:p w14:paraId="4C06370F"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Impact on neighbouring properties</w:t>
      </w:r>
    </w:p>
    <w:p w14:paraId="257B078D"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Transport matters </w:t>
      </w:r>
    </w:p>
    <w:p w14:paraId="7BDD8289"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Other matters </w:t>
      </w:r>
    </w:p>
    <w:p w14:paraId="7BE5CB8F" w14:textId="77777777" w:rsidR="00FF1580" w:rsidRPr="00FF1580" w:rsidRDefault="00FF1580" w:rsidP="00FF1580">
      <w:pPr>
        <w:spacing w:after="0" w:line="240" w:lineRule="auto"/>
        <w:jc w:val="both"/>
        <w:rPr>
          <w:rFonts w:ascii="Trebuchet MS" w:eastAsia="Times New Roman" w:hAnsi="Trebuchet MS" w:cs="Times New Roman"/>
          <w:color w:val="4F81BD"/>
          <w:sz w:val="24"/>
          <w:szCs w:val="24"/>
        </w:rPr>
      </w:pPr>
    </w:p>
    <w:p w14:paraId="39BF2EA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proofErr w:type="spellStart"/>
      <w:r w:rsidRPr="00FF1580">
        <w:rPr>
          <w:rFonts w:ascii="Trebuchet MS" w:eastAsia="Times New Roman" w:hAnsi="Trebuchet MS" w:cs="Times New Roman"/>
          <w:color w:val="000000"/>
          <w:sz w:val="24"/>
          <w:szCs w:val="24"/>
        </w:rPr>
        <w:t>i</w:t>
      </w:r>
      <w:proofErr w:type="spellEnd"/>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r>
      <w:r w:rsidRPr="00FF1580">
        <w:rPr>
          <w:rFonts w:ascii="Trebuchet MS" w:eastAsia="Times New Roman" w:hAnsi="Trebuchet MS" w:cs="Times New Roman"/>
          <w:b/>
          <w:color w:val="000000"/>
          <w:sz w:val="24"/>
          <w:szCs w:val="24"/>
        </w:rPr>
        <w:t>Policy background</w:t>
      </w:r>
      <w:r w:rsidRPr="00FF1580">
        <w:rPr>
          <w:rFonts w:ascii="Trebuchet MS" w:eastAsia="Times New Roman" w:hAnsi="Trebuchet MS" w:cs="Times New Roman"/>
          <w:color w:val="000000"/>
          <w:sz w:val="24"/>
          <w:szCs w:val="24"/>
        </w:rPr>
        <w:t xml:space="preserve"> </w:t>
      </w:r>
    </w:p>
    <w:p w14:paraId="766D8053"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1E0F12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Residential conversions have an important role to play in housing supply in Reading by adding a valuable supply of reasonably affordable private rented accommodation.  However, in some circumstances, residential conversions can have a harmful impact on the character of an area, providing poor or inadequate accommodation and leading to problems and issues for adjoining neighbours and the surrounding area.  </w:t>
      </w:r>
    </w:p>
    <w:p w14:paraId="0D91437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8D5BFD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Local Plan Policy H8 (Residential Conversions) sets out the strategic approach to converting buildings into self-contained flats or for multiple occupation covering aspects such as impact on the amenity and character of the area, loss of privacy and ensuring adequate parking.  Policy H8 also sets out detailed matters for consideration such as unduly diluting or harming existing mixed and sustainable communities and providing a minimum size of property that is suitable for conversion.</w:t>
      </w:r>
    </w:p>
    <w:p w14:paraId="5B2E4B63"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A0F077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The Residential Conversions SPD adds that adopted policies covering all residential conversions aim to find the right balance between:</w:t>
      </w:r>
    </w:p>
    <w:p w14:paraId="4D9DDBF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3C0C38A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Making a contribution towards identified housing </w:t>
      </w:r>
      <w:proofErr w:type="gramStart"/>
      <w:r w:rsidRPr="00FF1580">
        <w:rPr>
          <w:rFonts w:ascii="Trebuchet MS" w:eastAsia="Times New Roman" w:hAnsi="Trebuchet MS" w:cs="Times New Roman"/>
          <w:color w:val="000000"/>
          <w:sz w:val="24"/>
          <w:szCs w:val="24"/>
        </w:rPr>
        <w:t>needs;</w:t>
      </w:r>
      <w:proofErr w:type="gramEnd"/>
    </w:p>
    <w:p w14:paraId="3BE5E856" w14:textId="77777777" w:rsidR="00FF1580" w:rsidRPr="00FF1580" w:rsidRDefault="00FF1580" w:rsidP="00FF1580">
      <w:pPr>
        <w:spacing w:after="0" w:line="240" w:lineRule="auto"/>
        <w:ind w:left="720" w:hanging="720"/>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Ensuring adequate standards of accommodation, which are suited to the needs of the growing number of smaller </w:t>
      </w:r>
      <w:proofErr w:type="gramStart"/>
      <w:r w:rsidRPr="00FF1580">
        <w:rPr>
          <w:rFonts w:ascii="Trebuchet MS" w:eastAsia="Times New Roman" w:hAnsi="Trebuchet MS" w:cs="Times New Roman"/>
          <w:color w:val="000000"/>
          <w:sz w:val="24"/>
          <w:szCs w:val="24"/>
        </w:rPr>
        <w:t>households;</w:t>
      </w:r>
      <w:proofErr w:type="gramEnd"/>
    </w:p>
    <w:p w14:paraId="7E0EEF4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Protecting existing residential </w:t>
      </w:r>
      <w:proofErr w:type="gramStart"/>
      <w:r w:rsidRPr="00FF1580">
        <w:rPr>
          <w:rFonts w:ascii="Trebuchet MS" w:eastAsia="Times New Roman" w:hAnsi="Trebuchet MS" w:cs="Times New Roman"/>
          <w:color w:val="000000"/>
          <w:sz w:val="24"/>
          <w:szCs w:val="24"/>
        </w:rPr>
        <w:t>amenity;</w:t>
      </w:r>
      <w:proofErr w:type="gramEnd"/>
    </w:p>
    <w:p w14:paraId="1DFE4DF0"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Providing acceptable levels of on-site amenity space and car </w:t>
      </w:r>
      <w:proofErr w:type="gramStart"/>
      <w:r w:rsidRPr="00FF1580">
        <w:rPr>
          <w:rFonts w:ascii="Trebuchet MS" w:eastAsia="Times New Roman" w:hAnsi="Trebuchet MS" w:cs="Times New Roman"/>
          <w:color w:val="000000"/>
          <w:sz w:val="24"/>
          <w:szCs w:val="24"/>
        </w:rPr>
        <w:t>parking;</w:t>
      </w:r>
      <w:proofErr w:type="gramEnd"/>
    </w:p>
    <w:p w14:paraId="4000AD41"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Ensuring a mixed and sustainable community; and </w:t>
      </w:r>
    </w:p>
    <w:p w14:paraId="750371D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w:t>
      </w:r>
      <w:r w:rsidRPr="00FF1580">
        <w:rPr>
          <w:rFonts w:ascii="Trebuchet MS" w:eastAsia="Times New Roman" w:hAnsi="Trebuchet MS" w:cs="Times New Roman"/>
          <w:color w:val="000000"/>
          <w:sz w:val="24"/>
          <w:szCs w:val="24"/>
        </w:rPr>
        <w:tab/>
        <w:t xml:space="preserve">Maintaining the supply of </w:t>
      </w:r>
      <w:proofErr w:type="gramStart"/>
      <w:r w:rsidRPr="00FF1580">
        <w:rPr>
          <w:rFonts w:ascii="Trebuchet MS" w:eastAsia="Times New Roman" w:hAnsi="Trebuchet MS" w:cs="Times New Roman"/>
          <w:color w:val="000000"/>
          <w:sz w:val="24"/>
          <w:szCs w:val="24"/>
        </w:rPr>
        <w:t>single family</w:t>
      </w:r>
      <w:proofErr w:type="gramEnd"/>
      <w:r w:rsidRPr="00FF1580">
        <w:rPr>
          <w:rFonts w:ascii="Trebuchet MS" w:eastAsia="Times New Roman" w:hAnsi="Trebuchet MS" w:cs="Times New Roman"/>
          <w:color w:val="000000"/>
          <w:sz w:val="24"/>
          <w:szCs w:val="24"/>
        </w:rPr>
        <w:t xml:space="preserve"> housing.</w:t>
      </w:r>
    </w:p>
    <w:p w14:paraId="2034815C"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95357F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As such, the proposal for the retrospective conversion of the garage to a one-bedroom dwelling needs to be considered against the criteria within the policies and guidance highlighted above.</w:t>
      </w:r>
    </w:p>
    <w:p w14:paraId="2D61E19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F182F4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DDB87D1" w14:textId="77777777" w:rsidR="00FF1580" w:rsidRPr="00FF1580" w:rsidRDefault="00FF1580" w:rsidP="00FF1580">
      <w:pPr>
        <w:numPr>
          <w:ilvl w:val="0"/>
          <w:numId w:val="37"/>
        </w:numPr>
        <w:overflowPunct w:val="0"/>
        <w:adjustRightInd w:val="0"/>
        <w:ind w:left="709" w:hanging="709"/>
        <w:contextualSpacing/>
        <w:jc w:val="both"/>
        <w:textAlignment w:val="baseline"/>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 xml:space="preserve">Principle of the retrospective change of use </w:t>
      </w:r>
    </w:p>
    <w:p w14:paraId="69F65DE0" w14:textId="77777777" w:rsidR="00FF1580" w:rsidRPr="00FF1580" w:rsidRDefault="00FF1580" w:rsidP="00FF1580">
      <w:pPr>
        <w:tabs>
          <w:tab w:val="left" w:pos="240"/>
          <w:tab w:val="left" w:pos="360"/>
        </w:tabs>
        <w:spacing w:after="0" w:line="240" w:lineRule="auto"/>
        <w:jc w:val="both"/>
        <w:rPr>
          <w:rFonts w:ascii="Trebuchet MS" w:eastAsia="Times New Roman" w:hAnsi="Trebuchet MS" w:cs="Times New Roman"/>
          <w:color w:val="000000"/>
          <w:sz w:val="24"/>
          <w:szCs w:val="24"/>
        </w:rPr>
      </w:pPr>
    </w:p>
    <w:p w14:paraId="2B7C4B72"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The Council’s policies seek to deliver appropriate residential conversions whilst maintaining a supply of family housing and protecting the character and amenity of the surrounding area.  In this regard properties must be a minimum size as detailed </w:t>
      </w:r>
      <w:r w:rsidRPr="00FF1580">
        <w:rPr>
          <w:rFonts w:ascii="Trebuchet MS" w:eastAsia="Times New Roman" w:hAnsi="Trebuchet MS" w:cs="Times New Roman"/>
          <w:color w:val="000000"/>
          <w:sz w:val="24"/>
          <w:szCs w:val="24"/>
        </w:rPr>
        <w:lastRenderedPageBreak/>
        <w:t xml:space="preserve">in Policy H8 (Residential Conversions) of the Reading Borough Local Plan </w:t>
      </w:r>
      <w:proofErr w:type="gramStart"/>
      <w:r w:rsidRPr="00FF1580">
        <w:rPr>
          <w:rFonts w:ascii="Trebuchet MS" w:eastAsia="Times New Roman" w:hAnsi="Trebuchet MS" w:cs="Times New Roman"/>
          <w:color w:val="000000"/>
          <w:sz w:val="24"/>
          <w:szCs w:val="24"/>
        </w:rPr>
        <w:t>in order to</w:t>
      </w:r>
      <w:proofErr w:type="gramEnd"/>
      <w:r w:rsidRPr="00FF1580">
        <w:rPr>
          <w:rFonts w:ascii="Trebuchet MS" w:eastAsia="Times New Roman" w:hAnsi="Trebuchet MS" w:cs="Times New Roman"/>
          <w:color w:val="000000"/>
          <w:sz w:val="24"/>
          <w:szCs w:val="24"/>
        </w:rPr>
        <w:t xml:space="preserve"> be considered acceptable.  As this application is for the retrospective conversion of the garage to an independent dwelling and not the main dwelling, the overall size of the main property is not relevant in this instance however, the proposal will need to be assessed against other criteria within the policies and guidance highlighted above.</w:t>
      </w:r>
    </w:p>
    <w:p w14:paraId="5A670B8F"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p>
    <w:p w14:paraId="3E33612A" w14:textId="77777777" w:rsidR="00FF1580" w:rsidRPr="00FF1580" w:rsidRDefault="00FF1580" w:rsidP="00FF1580">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The submitted application form states the works to convert the garage started 4</w:t>
      </w:r>
      <w:r w:rsidRPr="00FF1580">
        <w:rPr>
          <w:rFonts w:ascii="Trebuchet MS" w:eastAsia="Times New Roman" w:hAnsi="Trebuchet MS" w:cs="Times New Roman"/>
          <w:color w:val="000000"/>
          <w:sz w:val="24"/>
          <w:szCs w:val="24"/>
          <w:vertAlign w:val="superscript"/>
        </w:rPr>
        <w:t>th</w:t>
      </w:r>
      <w:r w:rsidRPr="00FF1580">
        <w:rPr>
          <w:rFonts w:ascii="Trebuchet MS" w:eastAsia="Times New Roman" w:hAnsi="Trebuchet MS" w:cs="Times New Roman"/>
          <w:color w:val="000000"/>
          <w:sz w:val="24"/>
          <w:szCs w:val="24"/>
        </w:rPr>
        <w:t xml:space="preserve"> April 2010 and the building works completed 10</w:t>
      </w:r>
      <w:r w:rsidRPr="00FF1580">
        <w:rPr>
          <w:rFonts w:ascii="Trebuchet MS" w:eastAsia="Times New Roman" w:hAnsi="Trebuchet MS" w:cs="Times New Roman"/>
          <w:color w:val="000000"/>
          <w:sz w:val="24"/>
          <w:szCs w:val="24"/>
          <w:vertAlign w:val="superscript"/>
        </w:rPr>
        <w:t>th</w:t>
      </w:r>
      <w:r w:rsidRPr="00FF1580">
        <w:rPr>
          <w:rFonts w:ascii="Trebuchet MS" w:eastAsia="Times New Roman" w:hAnsi="Trebuchet MS" w:cs="Times New Roman"/>
          <w:color w:val="000000"/>
          <w:sz w:val="24"/>
          <w:szCs w:val="24"/>
        </w:rPr>
        <w:t xml:space="preserve"> August 2010.  The agent was advised that there were concerns with the proposal and that a Lawful Development Certificate for an existing use should be submitted as the application was likely to be refused.  The agent requested the application be assessed and determined with a view to submitting a lawful development certificate </w:t>
      </w:r>
      <w:proofErr w:type="gramStart"/>
      <w:r w:rsidRPr="00FF1580">
        <w:rPr>
          <w:rFonts w:ascii="Trebuchet MS" w:eastAsia="Times New Roman" w:hAnsi="Trebuchet MS" w:cs="Times New Roman"/>
          <w:color w:val="000000"/>
          <w:sz w:val="24"/>
          <w:szCs w:val="24"/>
        </w:rPr>
        <w:t>at a later date</w:t>
      </w:r>
      <w:proofErr w:type="gramEnd"/>
      <w:r w:rsidRPr="00FF1580">
        <w:rPr>
          <w:rFonts w:ascii="Trebuchet MS" w:eastAsia="Times New Roman" w:hAnsi="Trebuchet MS" w:cs="Times New Roman"/>
          <w:color w:val="000000"/>
          <w:sz w:val="24"/>
          <w:szCs w:val="24"/>
        </w:rPr>
        <w:t>.</w:t>
      </w:r>
    </w:p>
    <w:p w14:paraId="54235788" w14:textId="77777777" w:rsidR="00FF1580" w:rsidRPr="00FF1580" w:rsidRDefault="00FF1580" w:rsidP="00FF1580">
      <w:pPr>
        <w:spacing w:after="0" w:line="240" w:lineRule="auto"/>
        <w:jc w:val="both"/>
        <w:rPr>
          <w:rFonts w:ascii="Trebuchet MS" w:eastAsia="Times New Roman" w:hAnsi="Trebuchet MS" w:cs="Calibri"/>
          <w:color w:val="000000"/>
          <w:sz w:val="24"/>
          <w:szCs w:val="24"/>
        </w:rPr>
      </w:pPr>
    </w:p>
    <w:p w14:paraId="6AE1DCFD"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(iii)</w:t>
      </w:r>
      <w:r w:rsidRPr="00FF1580">
        <w:rPr>
          <w:rFonts w:ascii="Trebuchet MS" w:eastAsia="Times New Roman" w:hAnsi="Trebuchet MS" w:cs="Times New Roman"/>
          <w:b/>
          <w:color w:val="000000"/>
          <w:sz w:val="24"/>
          <w:szCs w:val="24"/>
        </w:rPr>
        <w:tab/>
        <w:t>Mixed and sustainable communities</w:t>
      </w:r>
    </w:p>
    <w:p w14:paraId="75E7B4EB"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5514817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Policy H8 identifies the maters against which proposals to convert buildings into self-contained flats (or multiple occupation) need to be assessed.  It includes </w:t>
      </w:r>
      <w:proofErr w:type="gramStart"/>
      <w:r w:rsidRPr="00FF1580">
        <w:rPr>
          <w:rFonts w:ascii="Trebuchet MS" w:eastAsia="Times New Roman" w:hAnsi="Trebuchet MS" w:cs="Times New Roman"/>
          <w:color w:val="000000"/>
          <w:sz w:val="24"/>
          <w:szCs w:val="24"/>
        </w:rPr>
        <w:t>that  proposals</w:t>
      </w:r>
      <w:proofErr w:type="gramEnd"/>
      <w:r w:rsidRPr="00FF1580">
        <w:rPr>
          <w:rFonts w:ascii="Trebuchet MS" w:eastAsia="Times New Roman" w:hAnsi="Trebuchet MS" w:cs="Times New Roman"/>
          <w:color w:val="000000"/>
          <w:sz w:val="24"/>
          <w:szCs w:val="24"/>
        </w:rPr>
        <w:t xml:space="preserve"> to convert properties will only be acceptable where </w:t>
      </w:r>
      <w:r w:rsidRPr="00FF1580">
        <w:rPr>
          <w:rFonts w:ascii="Trebuchet MS" w:eastAsia="Times New Roman" w:hAnsi="Trebuchet MS" w:cs="Times New Roman"/>
          <w:i/>
          <w:iCs/>
          <w:color w:val="000000"/>
          <w:sz w:val="24"/>
          <w:szCs w:val="24"/>
        </w:rPr>
        <w:t xml:space="preserve">‘the proposal would not, either individually or cumulatively, unduly dilute or harm an existing mixed and sustainable community through the significant loss of single family housing.’ </w:t>
      </w:r>
      <w:r w:rsidRPr="00FF1580">
        <w:rPr>
          <w:rFonts w:ascii="Trebuchet MS" w:eastAsia="Times New Roman" w:hAnsi="Trebuchet MS" w:cs="Times New Roman"/>
          <w:color w:val="000000"/>
          <w:sz w:val="24"/>
          <w:szCs w:val="24"/>
        </w:rPr>
        <w:t xml:space="preserve"> The Residential Conversions SPD goes on further to state that single family housing should remain the dominant form of dwelling within the vicinity of an application site.  </w:t>
      </w:r>
    </w:p>
    <w:p w14:paraId="0EB8D52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3D6283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Given the proposal is separate from the main dwelling, the use itself is not considered to harm the existing mixed and sustainable community as there is not a loss of a </w:t>
      </w:r>
      <w:proofErr w:type="gramStart"/>
      <w:r w:rsidRPr="00FF1580">
        <w:rPr>
          <w:rFonts w:ascii="Trebuchet MS" w:eastAsia="Times New Roman" w:hAnsi="Trebuchet MS" w:cs="Times New Roman"/>
          <w:color w:val="000000"/>
          <w:sz w:val="24"/>
          <w:szCs w:val="24"/>
        </w:rPr>
        <w:t>single family</w:t>
      </w:r>
      <w:proofErr w:type="gramEnd"/>
      <w:r w:rsidRPr="00FF1580">
        <w:rPr>
          <w:rFonts w:ascii="Trebuchet MS" w:eastAsia="Times New Roman" w:hAnsi="Trebuchet MS" w:cs="Times New Roman"/>
          <w:color w:val="000000"/>
          <w:sz w:val="24"/>
          <w:szCs w:val="24"/>
        </w:rPr>
        <w:t xml:space="preserve"> dwelling.  In this regard the proposal is acceptable.</w:t>
      </w:r>
    </w:p>
    <w:p w14:paraId="29D180C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5470280" w14:textId="77777777" w:rsidR="00FF1580" w:rsidRPr="00FF1580" w:rsidRDefault="00FF1580" w:rsidP="00FF1580">
      <w:pPr>
        <w:spacing w:after="0" w:line="240" w:lineRule="auto"/>
        <w:ind w:left="720" w:hanging="720"/>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(iv)</w:t>
      </w:r>
      <w:r w:rsidRPr="00FF1580">
        <w:rPr>
          <w:rFonts w:ascii="Trebuchet MS" w:eastAsia="Times New Roman" w:hAnsi="Trebuchet MS" w:cs="Times New Roman"/>
          <w:b/>
          <w:color w:val="000000"/>
          <w:sz w:val="24"/>
          <w:szCs w:val="24"/>
        </w:rPr>
        <w:tab/>
        <w:t>Impact of the retrospective change of use on amenity of future residents of the property</w:t>
      </w:r>
    </w:p>
    <w:p w14:paraId="7037D40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8CDB6C2"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Policy H8 requires that proposals for conversion should provide adequate internal floorspace and headroom for residents whilst Policy CC8 states </w:t>
      </w:r>
      <w:r w:rsidRPr="00FF1580">
        <w:rPr>
          <w:rFonts w:ascii="Trebuchet MS" w:eastAsia="Times New Roman" w:hAnsi="Trebuchet MS" w:cs="Times New Roman"/>
          <w:i/>
          <w:iCs/>
          <w:color w:val="000000"/>
          <w:sz w:val="24"/>
          <w:szCs w:val="24"/>
        </w:rPr>
        <w:t xml:space="preserve">‘development will not cause </w:t>
      </w:r>
      <w:proofErr w:type="gramStart"/>
      <w:r w:rsidRPr="00FF1580">
        <w:rPr>
          <w:rFonts w:ascii="Trebuchet MS" w:eastAsia="Times New Roman" w:hAnsi="Trebuchet MS" w:cs="Times New Roman"/>
          <w:i/>
          <w:iCs/>
          <w:color w:val="000000"/>
          <w:sz w:val="24"/>
          <w:szCs w:val="24"/>
        </w:rPr>
        <w:t>…..</w:t>
      </w:r>
      <w:proofErr w:type="gramEnd"/>
      <w:r w:rsidRPr="00FF1580">
        <w:rPr>
          <w:rFonts w:ascii="Trebuchet MS" w:eastAsia="Times New Roman" w:hAnsi="Trebuchet MS" w:cs="Times New Roman"/>
          <w:i/>
          <w:iCs/>
          <w:color w:val="000000"/>
          <w:sz w:val="24"/>
          <w:szCs w:val="24"/>
        </w:rPr>
        <w:t>unacceptable living conditions for new residential properties, in terms of, [but not limited to]: privacy and overlooking; access to sunlight and daylight and harm to outlook.’</w:t>
      </w:r>
      <w:r w:rsidRPr="00FF1580">
        <w:rPr>
          <w:rFonts w:ascii="Trebuchet MS" w:eastAsia="Times New Roman" w:hAnsi="Trebuchet MS" w:cs="Times New Roman"/>
          <w:color w:val="000000"/>
          <w:sz w:val="24"/>
          <w:szCs w:val="24"/>
        </w:rPr>
        <w:t xml:space="preserve">  </w:t>
      </w:r>
    </w:p>
    <w:p w14:paraId="76E8FC8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632CAEE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Although Policy H5 relates to new build housing and not conversions, the minimum space standards within this policy are useful to ensure that sufficient levels of internal space are provided which, as stated in paragraph 4.4.41 </w:t>
      </w:r>
      <w:r w:rsidRPr="00FF1580">
        <w:rPr>
          <w:rFonts w:ascii="Trebuchet MS" w:eastAsia="Times New Roman" w:hAnsi="Trebuchet MS" w:cs="Times New Roman"/>
          <w:i/>
          <w:iCs/>
          <w:color w:val="000000"/>
          <w:sz w:val="24"/>
          <w:szCs w:val="24"/>
        </w:rPr>
        <w:t xml:space="preserve">‘is essential to the quality of life of residents of the Borough.’  </w:t>
      </w:r>
      <w:r w:rsidRPr="00FF1580">
        <w:rPr>
          <w:rFonts w:ascii="Trebuchet MS" w:eastAsia="Times New Roman" w:hAnsi="Trebuchet MS" w:cs="Times New Roman"/>
          <w:color w:val="000000"/>
          <w:sz w:val="24"/>
          <w:szCs w:val="24"/>
        </w:rPr>
        <w:t xml:space="preserve">The </w:t>
      </w:r>
      <w:proofErr w:type="gramStart"/>
      <w:r w:rsidRPr="00FF1580">
        <w:rPr>
          <w:rFonts w:ascii="Trebuchet MS" w:eastAsia="Times New Roman" w:hAnsi="Trebuchet MS" w:cs="Times New Roman"/>
          <w:color w:val="000000"/>
          <w:sz w:val="24"/>
          <w:szCs w:val="24"/>
        </w:rPr>
        <w:t>Nationally-described</w:t>
      </w:r>
      <w:proofErr w:type="gramEnd"/>
      <w:r w:rsidRPr="00FF1580">
        <w:rPr>
          <w:rFonts w:ascii="Trebuchet MS" w:eastAsia="Times New Roman" w:hAnsi="Trebuchet MS" w:cs="Times New Roman"/>
          <w:color w:val="000000"/>
          <w:sz w:val="24"/>
          <w:szCs w:val="24"/>
        </w:rPr>
        <w:t xml:space="preserve"> space standards is also a useful point of reference and a good basis for design of new developments.</w:t>
      </w:r>
    </w:p>
    <w:p w14:paraId="443E57B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6B8D19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roofErr w:type="gramStart"/>
      <w:r w:rsidRPr="00FF1580">
        <w:rPr>
          <w:rFonts w:ascii="Trebuchet MS" w:eastAsia="Times New Roman" w:hAnsi="Trebuchet MS" w:cs="Times New Roman"/>
          <w:color w:val="000000"/>
          <w:sz w:val="24"/>
          <w:szCs w:val="24"/>
        </w:rPr>
        <w:t>With this in mind Figure</w:t>
      </w:r>
      <w:proofErr w:type="gramEnd"/>
      <w:r w:rsidRPr="00FF1580">
        <w:rPr>
          <w:rFonts w:ascii="Trebuchet MS" w:eastAsia="Times New Roman" w:hAnsi="Trebuchet MS" w:cs="Times New Roman"/>
          <w:color w:val="000000"/>
          <w:sz w:val="24"/>
          <w:szCs w:val="24"/>
        </w:rPr>
        <w:t xml:space="preserve"> 4.7 of Policy H5 states the minimum gross internal floor area for a one bedroom, 1 storey dwelling should be no less than 39sqm (or 37sqm if there is a shower room instead of a bathroom).  The retrospective </w:t>
      </w:r>
      <w:proofErr w:type="gramStart"/>
      <w:r w:rsidRPr="00FF1580">
        <w:rPr>
          <w:rFonts w:ascii="Trebuchet MS" w:eastAsia="Times New Roman" w:hAnsi="Trebuchet MS" w:cs="Times New Roman"/>
          <w:color w:val="000000"/>
          <w:sz w:val="24"/>
          <w:szCs w:val="24"/>
        </w:rPr>
        <w:t>one bedroom</w:t>
      </w:r>
      <w:proofErr w:type="gramEnd"/>
      <w:r w:rsidRPr="00FF1580">
        <w:rPr>
          <w:rFonts w:ascii="Trebuchet MS" w:eastAsia="Times New Roman" w:hAnsi="Trebuchet MS" w:cs="Times New Roman"/>
          <w:color w:val="000000"/>
          <w:sz w:val="24"/>
          <w:szCs w:val="24"/>
        </w:rPr>
        <w:t xml:space="preserve"> dwelling has a living room, bedroom, kitchen and bathroom and measures </w:t>
      </w:r>
      <w:r w:rsidRPr="00FF1580">
        <w:rPr>
          <w:rFonts w:ascii="Trebuchet MS" w:eastAsia="Times New Roman" w:hAnsi="Trebuchet MS" w:cs="Times New Roman"/>
          <w:color w:val="000000"/>
          <w:sz w:val="24"/>
          <w:szCs w:val="24"/>
        </w:rPr>
        <w:lastRenderedPageBreak/>
        <w:t>approximately 27.28sqm.  This is significantly below the minimum standards of 39sqm which is considered wholly inadequate for a residential dwelling.</w:t>
      </w:r>
    </w:p>
    <w:p w14:paraId="1B4E59B7" w14:textId="77777777" w:rsidR="00FF1580" w:rsidRPr="00FF1580" w:rsidRDefault="00FF1580" w:rsidP="00FF1580">
      <w:pPr>
        <w:spacing w:after="0" w:line="240" w:lineRule="auto"/>
        <w:jc w:val="both"/>
        <w:rPr>
          <w:rFonts w:ascii="Trebuchet MS" w:eastAsia="Times New Roman" w:hAnsi="Trebuchet MS" w:cs="Times New Roman"/>
          <w:color w:val="4F81BD"/>
          <w:sz w:val="24"/>
          <w:szCs w:val="24"/>
        </w:rPr>
      </w:pPr>
    </w:p>
    <w:p w14:paraId="27D4879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Notwithstanding the inadequate internal size of the dwelling there are also significant concerns with the layout.  The submitted floor plan shows a bathroom window, kitchen window and front door only.  There are no windows to the bedroom or the living room.  The proposal provides poor quality living accommodation in terms of access to daylight and sunlight and outlook for occupiers of the converted garage.  The Public Sector Housing team have also raised significant health concerns for residents in terms of fire hazard, access to daylight and ventilation.</w:t>
      </w:r>
    </w:p>
    <w:p w14:paraId="1F636C7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4454103" w14:textId="77777777" w:rsidR="00FF1580" w:rsidRPr="00FF1580" w:rsidRDefault="00FF1580" w:rsidP="00FF1580">
      <w:pPr>
        <w:tabs>
          <w:tab w:val="left" w:pos="1440"/>
        </w:tabs>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bCs/>
          <w:color w:val="000000"/>
          <w:sz w:val="24"/>
          <w:szCs w:val="24"/>
        </w:rPr>
        <w:t>No elevational drawings have been submitted and it is therefore not clear whether the converted garage provides adequate head height.</w:t>
      </w:r>
    </w:p>
    <w:p w14:paraId="2FDBEEE0"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367D899" w14:textId="77777777" w:rsidR="00FF1580" w:rsidRPr="00FF1580" w:rsidRDefault="00FF1580" w:rsidP="00FF1580">
      <w:pPr>
        <w:spacing w:after="0" w:line="240" w:lineRule="auto"/>
        <w:jc w:val="both"/>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Policy H10 (Private and Communal Outdoor Space) sets out that ‘</w:t>
      </w:r>
      <w:r w:rsidRPr="00FF1580">
        <w:rPr>
          <w:rFonts w:ascii="Trebuchet MS" w:eastAsia="Times New Roman" w:hAnsi="Trebuchet MS" w:cs="Times New Roman"/>
          <w:bCs/>
          <w:i/>
          <w:color w:val="000000"/>
          <w:sz w:val="24"/>
          <w:szCs w:val="24"/>
        </w:rPr>
        <w:t>Dwellings will be provided with functional private or communal open space…  Houses will be provided with private outdoor space whereas flats may be provided with communal outdoor space, balconies and/ or roof gardens.’</w:t>
      </w:r>
      <w:r w:rsidRPr="00FF1580">
        <w:rPr>
          <w:rFonts w:ascii="Trebuchet MS" w:eastAsia="Times New Roman" w:hAnsi="Trebuchet MS" w:cs="Times New Roman"/>
          <w:bCs/>
          <w:color w:val="000000"/>
          <w:sz w:val="24"/>
          <w:szCs w:val="24"/>
        </w:rPr>
        <w:t xml:space="preserve">  </w:t>
      </w:r>
    </w:p>
    <w:p w14:paraId="61ED3B86" w14:textId="77777777" w:rsidR="00FF1580" w:rsidRPr="00FF1580" w:rsidRDefault="00FF1580" w:rsidP="00FF1580">
      <w:pPr>
        <w:tabs>
          <w:tab w:val="left" w:pos="1440"/>
        </w:tabs>
        <w:spacing w:after="0" w:line="240" w:lineRule="auto"/>
        <w:jc w:val="both"/>
        <w:rPr>
          <w:rFonts w:ascii="Trebuchet MS" w:eastAsia="Times New Roman" w:hAnsi="Trebuchet MS" w:cs="Times New Roman"/>
          <w:bCs/>
          <w:color w:val="000000"/>
          <w:sz w:val="24"/>
          <w:szCs w:val="24"/>
        </w:rPr>
      </w:pPr>
    </w:p>
    <w:p w14:paraId="65116AA1" w14:textId="77777777" w:rsidR="00FF1580" w:rsidRPr="00FF1580" w:rsidRDefault="00FF1580" w:rsidP="00FF1580">
      <w:pPr>
        <w:tabs>
          <w:tab w:val="left" w:pos="1440"/>
        </w:tabs>
        <w:spacing w:after="0" w:line="240" w:lineRule="auto"/>
        <w:jc w:val="both"/>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 xml:space="preserve">Paragraph 4.4.87 of Policy H10 sets out that a house should be provided with useable private outdoor space no less than the gross floor area of the dwelling to which it relates (measured externally and including garage space). </w:t>
      </w:r>
    </w:p>
    <w:p w14:paraId="6834925B" w14:textId="77777777" w:rsidR="00FF1580" w:rsidRPr="00FF1580" w:rsidRDefault="00FF1580" w:rsidP="00FF1580">
      <w:pPr>
        <w:tabs>
          <w:tab w:val="left" w:pos="1440"/>
        </w:tabs>
        <w:spacing w:after="0" w:line="240" w:lineRule="auto"/>
        <w:jc w:val="both"/>
        <w:rPr>
          <w:rFonts w:ascii="Trebuchet MS" w:eastAsia="Times New Roman" w:hAnsi="Trebuchet MS" w:cs="Times New Roman"/>
          <w:bCs/>
          <w:color w:val="4F81BD"/>
          <w:sz w:val="24"/>
          <w:szCs w:val="24"/>
        </w:rPr>
      </w:pPr>
    </w:p>
    <w:p w14:paraId="43DF8E2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It is not clear from the submission whether the proposal has access to the rear garden of the main property however, considering it is a separate residential unit, sharing the garden would not be an acceptable arrangement, and in any </w:t>
      </w:r>
      <w:proofErr w:type="gramStart"/>
      <w:r w:rsidRPr="00FF1580">
        <w:rPr>
          <w:rFonts w:ascii="Trebuchet MS" w:eastAsia="Times New Roman" w:hAnsi="Trebuchet MS" w:cs="Times New Roman"/>
          <w:color w:val="000000"/>
          <w:sz w:val="24"/>
          <w:szCs w:val="24"/>
        </w:rPr>
        <w:t>case</w:t>
      </w:r>
      <w:proofErr w:type="gramEnd"/>
      <w:r w:rsidRPr="00FF1580">
        <w:rPr>
          <w:rFonts w:ascii="Trebuchet MS" w:eastAsia="Times New Roman" w:hAnsi="Trebuchet MS" w:cs="Times New Roman"/>
          <w:color w:val="000000"/>
          <w:sz w:val="24"/>
          <w:szCs w:val="24"/>
        </w:rPr>
        <w:t xml:space="preserve"> it is evident that remaining amenity space for the original dwelling, when existing outbuildings are taken into account, is very limited.  With the inadequate internal floor space, poor standard of living accommodation and lack of private outdoor amenity space, the proposal is considered to provide unacceptable living conditions for residents of the converted garage which is contrary to policy and guidance.</w:t>
      </w:r>
    </w:p>
    <w:p w14:paraId="725DCAA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133564DB"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(v)</w:t>
      </w:r>
      <w:r w:rsidRPr="00FF1580">
        <w:rPr>
          <w:rFonts w:ascii="Trebuchet MS" w:eastAsia="Times New Roman" w:hAnsi="Trebuchet MS" w:cs="Times New Roman"/>
          <w:b/>
          <w:color w:val="000000"/>
          <w:sz w:val="24"/>
          <w:szCs w:val="24"/>
        </w:rPr>
        <w:tab/>
        <w:t xml:space="preserve">Impact on neighbouring properties </w:t>
      </w:r>
    </w:p>
    <w:p w14:paraId="026AF1E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5BCF5501" w14:textId="77777777" w:rsidR="00FF1580" w:rsidRPr="00FF1580" w:rsidRDefault="00FF1580" w:rsidP="00FF1580">
      <w:pPr>
        <w:spacing w:after="0" w:line="240" w:lineRule="auto"/>
        <w:jc w:val="both"/>
        <w:rPr>
          <w:rFonts w:ascii="Trebuchet MS" w:eastAsia="Times New Roman" w:hAnsi="Trebuchet MS" w:cs="Times New Roman"/>
          <w:i/>
          <w:iCs/>
          <w:color w:val="000000"/>
          <w:sz w:val="24"/>
          <w:szCs w:val="24"/>
        </w:rPr>
      </w:pPr>
      <w:r w:rsidRPr="00FF1580">
        <w:rPr>
          <w:rFonts w:ascii="Trebuchet MS" w:eastAsia="Times New Roman" w:hAnsi="Trebuchet MS" w:cs="Times New Roman"/>
          <w:color w:val="000000"/>
          <w:sz w:val="24"/>
          <w:szCs w:val="24"/>
        </w:rPr>
        <w:t xml:space="preserve">Policy H8 states that </w:t>
      </w:r>
      <w:r w:rsidRPr="00FF1580">
        <w:rPr>
          <w:rFonts w:ascii="Trebuchet MS" w:eastAsia="Times New Roman" w:hAnsi="Trebuchet MS" w:cs="Times New Roman"/>
          <w:i/>
          <w:iCs/>
          <w:color w:val="000000"/>
          <w:sz w:val="24"/>
          <w:szCs w:val="24"/>
        </w:rPr>
        <w:t xml:space="preserve">‘proposals to convert buildings into self-contained flats or multiple occupation will be assessed against the impact on the amenity and character of the surrounding area, particularly in terms of intensification of activity, loss of privacy, loss of external amenity space, </w:t>
      </w:r>
    </w:p>
    <w:p w14:paraId="3BFCEDA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1359B1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Policy CC8 (Safeguarding Amenity) states that development should not cause a significant detrimental impact to the living environment of neighbouring properties in terms of privacy and overlooking; access to sunlight and daylight; visual dominance and overbearing effects of a development; noise and disturbance; artificial lighting; vibration; dust and fumes, smell; or crime and safety.  </w:t>
      </w:r>
    </w:p>
    <w:p w14:paraId="308BE4D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01D73FDD"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The proposal is within the curtilage of the main property and </w:t>
      </w:r>
      <w:proofErr w:type="gramStart"/>
      <w:r w:rsidRPr="00FF1580">
        <w:rPr>
          <w:rFonts w:ascii="Trebuchet MS" w:eastAsia="Times New Roman" w:hAnsi="Trebuchet MS" w:cs="Times New Roman"/>
          <w:color w:val="000000"/>
          <w:sz w:val="24"/>
          <w:szCs w:val="24"/>
        </w:rPr>
        <w:t>is located in</w:t>
      </w:r>
      <w:proofErr w:type="gramEnd"/>
      <w:r w:rsidRPr="00FF1580">
        <w:rPr>
          <w:rFonts w:ascii="Trebuchet MS" w:eastAsia="Times New Roman" w:hAnsi="Trebuchet MS" w:cs="Times New Roman"/>
          <w:color w:val="000000"/>
          <w:sz w:val="24"/>
          <w:szCs w:val="24"/>
        </w:rPr>
        <w:t xml:space="preserve"> the west corner of the site.  There are other outbuildings within the site and there is limited amenity space available.  As the converted garage was part of this original layout, the limited amenity space for the main dwelling is established.  However, in terms of the proximity of the converted garage to the main dwelling and as its windows </w:t>
      </w:r>
      <w:r w:rsidRPr="00FF1580">
        <w:rPr>
          <w:rFonts w:ascii="Trebuchet MS" w:eastAsia="Times New Roman" w:hAnsi="Trebuchet MS" w:cs="Times New Roman"/>
          <w:color w:val="000000"/>
          <w:sz w:val="24"/>
          <w:szCs w:val="24"/>
        </w:rPr>
        <w:lastRenderedPageBreak/>
        <w:t>face into the garden there is a concern in terms of overlooking and loss of privacy both for the residents of the converted garage and for the occupiers of the main property due to the cramped nature of the buildings on the plot.</w:t>
      </w:r>
    </w:p>
    <w:p w14:paraId="39B9AB6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2F11EA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There are other detached garages and outbuildings in the gardens of surrounding neighbouring properties and although elevational plans have not been submitted, the height of the converted garage does not seem high and is therefore not considered to impact on the residents of neighbouring properties in terms of being visually dominant or overbearing.</w:t>
      </w:r>
    </w:p>
    <w:p w14:paraId="1732D3A7" w14:textId="77777777" w:rsidR="00FF1580" w:rsidRPr="00FF1580" w:rsidRDefault="00FF1580" w:rsidP="00FF1580">
      <w:pPr>
        <w:spacing w:after="0" w:line="240" w:lineRule="auto"/>
        <w:jc w:val="both"/>
        <w:rPr>
          <w:rFonts w:ascii="Trebuchet MS" w:eastAsia="Times New Roman" w:hAnsi="Trebuchet MS" w:cs="Times New Roman"/>
          <w:color w:val="4F81BD"/>
          <w:sz w:val="24"/>
          <w:szCs w:val="24"/>
        </w:rPr>
      </w:pPr>
    </w:p>
    <w:p w14:paraId="13EE6A5D"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(vi)</w:t>
      </w:r>
      <w:r w:rsidRPr="00FF1580">
        <w:rPr>
          <w:rFonts w:ascii="Trebuchet MS" w:eastAsia="Times New Roman" w:hAnsi="Trebuchet MS" w:cs="Times New Roman"/>
          <w:b/>
          <w:color w:val="000000"/>
          <w:sz w:val="24"/>
          <w:szCs w:val="24"/>
        </w:rPr>
        <w:tab/>
        <w:t xml:space="preserve">Transport matters </w:t>
      </w:r>
    </w:p>
    <w:p w14:paraId="3C732A35" w14:textId="77777777" w:rsidR="00FF1580" w:rsidRPr="00FF1580" w:rsidRDefault="00FF1580" w:rsidP="00FF1580">
      <w:pPr>
        <w:spacing w:after="0" w:line="240" w:lineRule="auto"/>
        <w:jc w:val="both"/>
        <w:rPr>
          <w:rFonts w:ascii="Trebuchet MS" w:eastAsia="Times New Roman" w:hAnsi="Trebuchet MS" w:cs="Times New Roman"/>
          <w:bCs/>
          <w:color w:val="000000"/>
          <w:sz w:val="24"/>
          <w:szCs w:val="24"/>
        </w:rPr>
      </w:pPr>
    </w:p>
    <w:p w14:paraId="2927047A"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color w:val="000000"/>
          <w:sz w:val="24"/>
          <w:szCs w:val="24"/>
        </w:rPr>
        <w:t xml:space="preserve">Policy H8 states that there should be </w:t>
      </w:r>
      <w:proofErr w:type="gramStart"/>
      <w:r w:rsidRPr="00FF1580">
        <w:rPr>
          <w:rFonts w:ascii="Trebuchet MS" w:eastAsia="Times New Roman" w:hAnsi="Trebuchet MS" w:cs="Times New Roman"/>
          <w:color w:val="000000"/>
          <w:sz w:val="24"/>
          <w:szCs w:val="24"/>
        </w:rPr>
        <w:t>‘..</w:t>
      </w:r>
      <w:proofErr w:type="gramEnd"/>
      <w:r w:rsidRPr="00FF1580">
        <w:rPr>
          <w:rFonts w:ascii="Trebuchet MS" w:eastAsia="Times New Roman" w:hAnsi="Trebuchet MS" w:cs="Times New Roman"/>
          <w:i/>
          <w:iCs/>
          <w:color w:val="000000"/>
          <w:sz w:val="24"/>
          <w:szCs w:val="24"/>
        </w:rPr>
        <w:t xml:space="preserve">the provision and location of adequate on-site car parking and the treatment of bin storage areas and other related servicing.’  </w:t>
      </w:r>
      <w:r w:rsidRPr="00FF1580">
        <w:rPr>
          <w:rFonts w:ascii="Trebuchet MS" w:eastAsia="Times New Roman" w:hAnsi="Trebuchet MS" w:cs="Times New Roman"/>
          <w:bCs/>
          <w:color w:val="000000"/>
          <w:sz w:val="24"/>
          <w:szCs w:val="24"/>
        </w:rPr>
        <w:t>The converted garage is independent from the main dwelling and, therefore, one car parking space would be required along with two car parking spaces for the existing property.  The plans do not show any allocated parking, however, had the application been acceptable in all other regards, this matter could have been dealt with by way of condition.  Other matters such as the provision of cycle parking and bin storage could also have been dealt with by way of suitable conditions.</w:t>
      </w:r>
    </w:p>
    <w:p w14:paraId="58E39243"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p>
    <w:p w14:paraId="2D6EFB4B" w14:textId="77777777" w:rsidR="00FF1580" w:rsidRPr="00FF1580" w:rsidRDefault="00FF1580" w:rsidP="00FF1580">
      <w:pPr>
        <w:numPr>
          <w:ilvl w:val="0"/>
          <w:numId w:val="38"/>
        </w:numPr>
        <w:ind w:left="709" w:hanging="709"/>
        <w:contextualSpacing/>
        <w:jc w:val="both"/>
        <w:rPr>
          <w:rFonts w:ascii="Trebuchet MS" w:eastAsia="Times New Roman" w:hAnsi="Trebuchet MS" w:cs="Times New Roman"/>
          <w:b/>
          <w:color w:val="000000"/>
          <w:sz w:val="24"/>
          <w:szCs w:val="24"/>
        </w:rPr>
      </w:pPr>
      <w:r w:rsidRPr="00FF1580">
        <w:rPr>
          <w:rFonts w:ascii="Trebuchet MS" w:eastAsia="Times New Roman" w:hAnsi="Trebuchet MS" w:cs="Times New Roman"/>
          <w:b/>
          <w:color w:val="000000"/>
          <w:sz w:val="24"/>
          <w:szCs w:val="24"/>
        </w:rPr>
        <w:t xml:space="preserve">Other matters  </w:t>
      </w:r>
    </w:p>
    <w:p w14:paraId="15AB35C1" w14:textId="77777777" w:rsidR="00FF1580" w:rsidRPr="00FF1580" w:rsidRDefault="00FF1580" w:rsidP="00FF1580">
      <w:pPr>
        <w:spacing w:after="0" w:line="240" w:lineRule="auto"/>
        <w:jc w:val="both"/>
        <w:rPr>
          <w:rFonts w:ascii="Trebuchet MS" w:eastAsia="Times New Roman" w:hAnsi="Trebuchet MS" w:cs="Times New Roman"/>
          <w:b/>
          <w:color w:val="000000"/>
          <w:sz w:val="24"/>
          <w:szCs w:val="24"/>
        </w:rPr>
      </w:pPr>
    </w:p>
    <w:p w14:paraId="6439E7DB" w14:textId="77777777" w:rsidR="00FF1580" w:rsidRPr="00FF1580" w:rsidRDefault="00FF1580" w:rsidP="00FF1580">
      <w:pPr>
        <w:spacing w:after="0" w:line="240" w:lineRule="auto"/>
        <w:jc w:val="both"/>
        <w:rPr>
          <w:rFonts w:ascii="Trebuchet MS" w:eastAsia="Times New Roman" w:hAnsi="Trebuchet MS" w:cs="Times New Roman"/>
          <w:bCs/>
          <w:color w:val="000000"/>
          <w:sz w:val="24"/>
          <w:szCs w:val="24"/>
          <w:u w:val="single"/>
        </w:rPr>
      </w:pPr>
      <w:r w:rsidRPr="00FF1580">
        <w:rPr>
          <w:rFonts w:ascii="Trebuchet MS" w:eastAsia="Times New Roman" w:hAnsi="Trebuchet MS" w:cs="Times New Roman"/>
          <w:bCs/>
          <w:color w:val="000000"/>
          <w:sz w:val="24"/>
          <w:szCs w:val="24"/>
          <w:u w:val="single"/>
        </w:rPr>
        <w:t xml:space="preserve">Affordable Housing </w:t>
      </w:r>
    </w:p>
    <w:p w14:paraId="1C80A5FC" w14:textId="77777777" w:rsidR="00FF1580" w:rsidRPr="00FF1580" w:rsidRDefault="00FF1580" w:rsidP="00FF1580">
      <w:pPr>
        <w:autoSpaceDE w:val="0"/>
        <w:autoSpaceDN w:val="0"/>
        <w:spacing w:after="0" w:line="240" w:lineRule="auto"/>
        <w:ind w:left="567"/>
        <w:jc w:val="both"/>
        <w:rPr>
          <w:rFonts w:ascii="Trebuchet MS" w:eastAsia="Times New Roman" w:hAnsi="Trebuchet MS" w:cs="Times New Roman"/>
          <w:bCs/>
          <w:color w:val="4F81BD"/>
          <w:sz w:val="24"/>
          <w:szCs w:val="24"/>
          <w:lang w:eastAsia="en-GB"/>
        </w:rPr>
      </w:pPr>
    </w:p>
    <w:p w14:paraId="0E6C7DD5" w14:textId="77777777" w:rsidR="00FF1580" w:rsidRPr="00FF1580" w:rsidRDefault="00FF1580" w:rsidP="00FF1580">
      <w:pPr>
        <w:spacing w:after="0" w:line="240" w:lineRule="auto"/>
        <w:jc w:val="both"/>
        <w:rPr>
          <w:rFonts w:ascii="Trebuchet MS" w:eastAsia="Times New Roman" w:hAnsi="Trebuchet MS" w:cs="Times New Roman"/>
          <w:i/>
          <w:color w:val="000000"/>
          <w:sz w:val="24"/>
          <w:szCs w:val="24"/>
          <w:lang w:eastAsia="en-GB"/>
        </w:rPr>
      </w:pPr>
      <w:r w:rsidRPr="00FF1580">
        <w:rPr>
          <w:rFonts w:ascii="Trebuchet MS" w:eastAsia="Times New Roman" w:hAnsi="Trebuchet MS" w:cs="Times New Roman"/>
          <w:bCs/>
          <w:color w:val="000000"/>
          <w:sz w:val="24"/>
          <w:szCs w:val="24"/>
          <w:lang w:eastAsia="en-GB"/>
        </w:rPr>
        <w:t xml:space="preserve">The Council’s adopted Policy H3: Affordable Housing states </w:t>
      </w:r>
      <w:r w:rsidRPr="00FF1580">
        <w:rPr>
          <w:rFonts w:ascii="Trebuchet MS" w:eastAsia="Times New Roman" w:hAnsi="Trebuchet MS" w:cs="Times New Roman"/>
          <w:bCs/>
          <w:i/>
          <w:color w:val="000000"/>
          <w:sz w:val="24"/>
          <w:szCs w:val="24"/>
          <w:lang w:eastAsia="en-GB"/>
        </w:rPr>
        <w:t>“</w:t>
      </w:r>
      <w:r w:rsidRPr="00FF1580">
        <w:rPr>
          <w:rFonts w:ascii="Trebuchet MS" w:eastAsia="Times New Roman" w:hAnsi="Trebuchet MS" w:cs="Times New Roman"/>
          <w:i/>
          <w:color w:val="000000"/>
          <w:sz w:val="24"/>
          <w:szCs w:val="24"/>
          <w:lang w:eastAsia="en-GB"/>
        </w:rPr>
        <w:t>on sites of 1 – 4 dwellings, a financial contribution will be made that will enable the equivalent of 10% of the housing to be provided as affordable housing elsewhere in the Borough.”</w:t>
      </w:r>
    </w:p>
    <w:p w14:paraId="7323FA37" w14:textId="77777777" w:rsidR="00FF1580" w:rsidRPr="00FF1580" w:rsidRDefault="00FF1580" w:rsidP="00FF1580">
      <w:pPr>
        <w:spacing w:after="0" w:line="240" w:lineRule="auto"/>
        <w:jc w:val="both"/>
        <w:rPr>
          <w:rFonts w:ascii="Trebuchet MS" w:eastAsia="Times New Roman" w:hAnsi="Trebuchet MS" w:cs="Times New Roman"/>
          <w:i/>
          <w:color w:val="000000"/>
          <w:sz w:val="24"/>
          <w:szCs w:val="24"/>
          <w:lang w:eastAsia="en-GB"/>
        </w:rPr>
      </w:pPr>
    </w:p>
    <w:p w14:paraId="464305C5" w14:textId="77777777" w:rsidR="00FF1580" w:rsidRPr="00FF1580" w:rsidRDefault="00FF1580" w:rsidP="00FF1580">
      <w:pPr>
        <w:spacing w:after="0" w:line="240" w:lineRule="auto"/>
        <w:jc w:val="both"/>
        <w:rPr>
          <w:rFonts w:ascii="Trebuchet MS" w:eastAsia="Times New Roman" w:hAnsi="Trebuchet MS" w:cs="Times New Roman"/>
          <w:iCs/>
          <w:color w:val="000000"/>
          <w:sz w:val="24"/>
          <w:szCs w:val="24"/>
          <w:lang w:eastAsia="en-GB"/>
        </w:rPr>
      </w:pPr>
      <w:r w:rsidRPr="00FF1580">
        <w:rPr>
          <w:rFonts w:ascii="Trebuchet MS" w:eastAsia="Times New Roman" w:hAnsi="Trebuchet MS" w:cs="Times New Roman"/>
          <w:iCs/>
          <w:color w:val="000000"/>
          <w:sz w:val="24"/>
          <w:szCs w:val="24"/>
          <w:lang w:eastAsia="en-GB"/>
        </w:rPr>
        <w:t>The proposal does not benefit from any exemptions as it is not:</w:t>
      </w:r>
    </w:p>
    <w:p w14:paraId="14411EBA" w14:textId="77777777" w:rsidR="00FF1580" w:rsidRPr="00FF1580" w:rsidRDefault="00FF1580" w:rsidP="00FF1580">
      <w:pPr>
        <w:spacing w:after="0" w:line="240" w:lineRule="auto"/>
        <w:jc w:val="both"/>
        <w:rPr>
          <w:rFonts w:ascii="Trebuchet MS" w:eastAsia="Times New Roman" w:hAnsi="Trebuchet MS" w:cs="Times New Roman"/>
          <w:iCs/>
          <w:color w:val="000000"/>
          <w:sz w:val="24"/>
          <w:szCs w:val="24"/>
          <w:lang w:eastAsia="en-GB"/>
        </w:rPr>
      </w:pPr>
    </w:p>
    <w:p w14:paraId="214475FA" w14:textId="77777777" w:rsidR="00FF1580" w:rsidRPr="00FF1580" w:rsidRDefault="00FF1580" w:rsidP="00FF1580">
      <w:pPr>
        <w:numPr>
          <w:ilvl w:val="0"/>
          <w:numId w:val="34"/>
        </w:numPr>
        <w:contextualSpacing/>
        <w:jc w:val="both"/>
        <w:rPr>
          <w:rFonts w:ascii="Trebuchet MS" w:eastAsia="Times New Roman" w:hAnsi="Trebuchet MS" w:cs="Times New Roman"/>
          <w:iCs/>
          <w:color w:val="000000"/>
          <w:sz w:val="24"/>
          <w:szCs w:val="24"/>
        </w:rPr>
      </w:pPr>
      <w:r w:rsidRPr="00FF1580">
        <w:rPr>
          <w:rFonts w:ascii="Trebuchet MS" w:eastAsia="Times New Roman" w:hAnsi="Trebuchet MS" w:cs="Times New Roman"/>
          <w:iCs/>
          <w:color w:val="000000"/>
          <w:sz w:val="24"/>
          <w:szCs w:val="24"/>
        </w:rPr>
        <w:t xml:space="preserve">Replacement of a single dwelling with another single dwelling; and </w:t>
      </w:r>
    </w:p>
    <w:p w14:paraId="5A6EB855" w14:textId="77777777" w:rsidR="00FF1580" w:rsidRPr="00FF1580" w:rsidRDefault="00FF1580" w:rsidP="00FF1580">
      <w:pPr>
        <w:numPr>
          <w:ilvl w:val="0"/>
          <w:numId w:val="34"/>
        </w:numPr>
        <w:contextualSpacing/>
        <w:jc w:val="both"/>
        <w:rPr>
          <w:rFonts w:ascii="Trebuchet MS" w:eastAsia="Times New Roman" w:hAnsi="Trebuchet MS" w:cs="Times New Roman"/>
          <w:iCs/>
          <w:color w:val="000000"/>
          <w:sz w:val="24"/>
          <w:szCs w:val="24"/>
        </w:rPr>
      </w:pPr>
      <w:r w:rsidRPr="00FF1580">
        <w:rPr>
          <w:rFonts w:ascii="Trebuchet MS" w:eastAsia="Times New Roman" w:hAnsi="Trebuchet MS" w:cs="Times New Roman"/>
          <w:iCs/>
          <w:color w:val="000000"/>
          <w:sz w:val="24"/>
          <w:szCs w:val="24"/>
        </w:rPr>
        <w:t>Conversion of a dwelling to self-contained flats where there is no new floorspace.</w:t>
      </w:r>
    </w:p>
    <w:p w14:paraId="64A27DC7" w14:textId="77777777" w:rsidR="00FF1580" w:rsidRPr="00FF1580" w:rsidRDefault="00FF1580" w:rsidP="00FF1580">
      <w:pPr>
        <w:spacing w:after="0" w:line="240" w:lineRule="auto"/>
        <w:jc w:val="both"/>
        <w:rPr>
          <w:rFonts w:ascii="Trebuchet MS" w:eastAsia="Times New Roman" w:hAnsi="Trebuchet MS" w:cs="Times New Roman"/>
          <w:b/>
          <w:iCs/>
          <w:color w:val="000000"/>
          <w:sz w:val="24"/>
          <w:szCs w:val="24"/>
        </w:rPr>
      </w:pPr>
    </w:p>
    <w:p w14:paraId="48C02085"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0"/>
        </w:rPr>
      </w:pPr>
      <w:r w:rsidRPr="00FF1580">
        <w:rPr>
          <w:rFonts w:ascii="Trebuchet MS" w:eastAsia="Times New Roman" w:hAnsi="Trebuchet MS" w:cs="Times New Roman"/>
          <w:color w:val="000000"/>
          <w:sz w:val="24"/>
          <w:szCs w:val="20"/>
        </w:rPr>
        <w:t>The agent has not confirmed whether the applicant would be willing to address this issue however, as the application is recommended for refusal this is a further reason for refusal.</w:t>
      </w:r>
    </w:p>
    <w:p w14:paraId="0DAC775F" w14:textId="77777777" w:rsidR="00FF1580" w:rsidRPr="00FF1580" w:rsidRDefault="00FF1580" w:rsidP="00FF1580">
      <w:pPr>
        <w:spacing w:after="0" w:line="240" w:lineRule="auto"/>
        <w:jc w:val="both"/>
        <w:rPr>
          <w:rFonts w:ascii="Trebuchet MS" w:eastAsia="Times New Roman" w:hAnsi="Trebuchet MS" w:cs="Times New Roman"/>
          <w:b/>
          <w:iCs/>
          <w:color w:val="000000"/>
          <w:sz w:val="24"/>
          <w:szCs w:val="24"/>
        </w:rPr>
      </w:pPr>
    </w:p>
    <w:p w14:paraId="2C6C1DF4" w14:textId="77777777" w:rsidR="00FF1580" w:rsidRPr="00FF1580" w:rsidRDefault="00FF1580" w:rsidP="00FF1580">
      <w:pPr>
        <w:spacing w:after="0" w:line="240" w:lineRule="auto"/>
        <w:jc w:val="both"/>
        <w:rPr>
          <w:rFonts w:ascii="Trebuchet MS" w:eastAsia="Times New Roman" w:hAnsi="Trebuchet MS" w:cs="Times New Roman"/>
          <w:bCs/>
          <w:color w:val="000000"/>
          <w:sz w:val="24"/>
          <w:szCs w:val="24"/>
          <w:u w:val="single"/>
        </w:rPr>
      </w:pPr>
      <w:r w:rsidRPr="00FF1580">
        <w:rPr>
          <w:rFonts w:ascii="Trebuchet MS" w:eastAsia="Times New Roman" w:hAnsi="Trebuchet MS" w:cs="Times New Roman"/>
          <w:bCs/>
          <w:color w:val="000000"/>
          <w:sz w:val="24"/>
          <w:szCs w:val="24"/>
          <w:u w:val="single"/>
        </w:rPr>
        <w:t xml:space="preserve">Sustainability </w:t>
      </w:r>
    </w:p>
    <w:p w14:paraId="4AC5D41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2661D8C"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Given that there are no alterations to the structure of the property as part of this application, no sustainability standards have been sought.</w:t>
      </w:r>
    </w:p>
    <w:p w14:paraId="42883743"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7EBCD00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 xml:space="preserve">CIL </w:t>
      </w:r>
    </w:p>
    <w:p w14:paraId="2C861382"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p>
    <w:p w14:paraId="2EA73014" w14:textId="77777777" w:rsidR="00FF1580" w:rsidRPr="00FF1580" w:rsidRDefault="00FF1580" w:rsidP="00FF1580">
      <w:pPr>
        <w:tabs>
          <w:tab w:val="left" w:pos="0"/>
        </w:tabs>
        <w:overflowPunct w:val="0"/>
        <w:autoSpaceDE w:val="0"/>
        <w:autoSpaceDN w:val="0"/>
        <w:adjustRightInd w:val="0"/>
        <w:spacing w:after="0" w:line="240" w:lineRule="auto"/>
        <w:jc w:val="both"/>
        <w:textAlignment w:val="baseline"/>
        <w:rPr>
          <w:rFonts w:ascii="Trebuchet MS" w:eastAsia="Times New Roman" w:hAnsi="Trebuchet MS" w:cs="Times New Roman"/>
          <w:b/>
          <w:bCs/>
          <w:color w:val="000000"/>
          <w:sz w:val="24"/>
          <w:szCs w:val="24"/>
        </w:rPr>
      </w:pPr>
      <w:r w:rsidRPr="00FF1580">
        <w:rPr>
          <w:rFonts w:ascii="Trebuchet MS" w:eastAsia="Times New Roman" w:hAnsi="Trebuchet MS" w:cs="Times New Roman"/>
          <w:color w:val="000000"/>
          <w:sz w:val="24"/>
          <w:szCs w:val="24"/>
        </w:rPr>
        <w:t>Had the proposal been acceptable it would have been liable to the Community Infrastructure Levy regime.</w:t>
      </w:r>
    </w:p>
    <w:p w14:paraId="5EEC3E8A"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82814B8"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lastRenderedPageBreak/>
        <w:t>Equality Act 2010</w:t>
      </w:r>
    </w:p>
    <w:p w14:paraId="24AF8F7E"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p>
    <w:p w14:paraId="7E209489" w14:textId="77777777" w:rsidR="00FF1580" w:rsidRPr="00FF1580" w:rsidRDefault="00FF1580" w:rsidP="00FF1580">
      <w:pPr>
        <w:spacing w:after="0" w:line="240" w:lineRule="auto"/>
        <w:jc w:val="both"/>
        <w:rPr>
          <w:rFonts w:ascii="Trebuchet MS" w:eastAsia="Times New Roman" w:hAnsi="Trebuchet MS" w:cs="Times New Roman"/>
          <w:bCs/>
          <w:color w:val="000000"/>
          <w:sz w:val="24"/>
          <w:szCs w:val="24"/>
        </w:rPr>
      </w:pPr>
      <w:r w:rsidRPr="00FF1580">
        <w:rPr>
          <w:rFonts w:ascii="Trebuchet MS" w:eastAsia="Times New Roman" w:hAnsi="Trebuchet MS" w:cs="Times New Roman"/>
          <w:bCs/>
          <w:color w:val="000000"/>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FF1580">
        <w:rPr>
          <w:rFonts w:ascii="Trebuchet MS" w:eastAsia="Times New Roman" w:hAnsi="Trebuchet MS" w:cs="Times New Roman"/>
          <w:bCs/>
          <w:color w:val="000000"/>
          <w:sz w:val="24"/>
          <w:szCs w:val="24"/>
        </w:rPr>
        <w:t>issues</w:t>
      </w:r>
      <w:proofErr w:type="gramEnd"/>
      <w:r w:rsidRPr="00FF1580">
        <w:rPr>
          <w:rFonts w:ascii="Trebuchet MS" w:eastAsia="Times New Roman" w:hAnsi="Trebuchet MS" w:cs="Times New Roman"/>
          <w:bCs/>
          <w:color w:val="000000"/>
          <w:sz w:val="24"/>
          <w:szCs w:val="24"/>
        </w:rPr>
        <w:t xml:space="preserve"> and priorities in relation to this particular planning application.  Therefore, in terms of the key equalities protected characteristics it is considered there would be no significant adverse impacts </w:t>
      </w:r>
      <w:proofErr w:type="gramStart"/>
      <w:r w:rsidRPr="00FF1580">
        <w:rPr>
          <w:rFonts w:ascii="Trebuchet MS" w:eastAsia="Times New Roman" w:hAnsi="Trebuchet MS" w:cs="Times New Roman"/>
          <w:bCs/>
          <w:color w:val="000000"/>
          <w:sz w:val="24"/>
          <w:szCs w:val="24"/>
        </w:rPr>
        <w:t>as a result of</w:t>
      </w:r>
      <w:proofErr w:type="gramEnd"/>
      <w:r w:rsidRPr="00FF1580">
        <w:rPr>
          <w:rFonts w:ascii="Trebuchet MS" w:eastAsia="Times New Roman" w:hAnsi="Trebuchet MS" w:cs="Times New Roman"/>
          <w:bCs/>
          <w:color w:val="000000"/>
          <w:sz w:val="24"/>
          <w:szCs w:val="24"/>
        </w:rPr>
        <w:t xml:space="preserve"> the development.</w:t>
      </w:r>
    </w:p>
    <w:p w14:paraId="42EF3BB6"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p>
    <w:p w14:paraId="6ED29D5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r w:rsidRPr="00FF1580">
        <w:rPr>
          <w:rFonts w:ascii="Trebuchet MS" w:eastAsia="Times New Roman" w:hAnsi="Trebuchet MS" w:cs="Times New Roman"/>
          <w:color w:val="000000"/>
          <w:sz w:val="24"/>
          <w:szCs w:val="24"/>
          <w:u w:val="single"/>
        </w:rPr>
        <w:t>Contaminated Land</w:t>
      </w:r>
    </w:p>
    <w:p w14:paraId="20EB05D9"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u w:val="single"/>
        </w:rPr>
      </w:pPr>
    </w:p>
    <w:p w14:paraId="734C176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The application site lies on the site of a former garage which has the potential to have caused contaminated land.  Had the application been acceptable in all other regards relevant conditions relating to 1. A contaminated land assessment; 2. Remediation scheme; and 3. Unidentified contamination would have been imposed to ensure that the property would be safe and suitable for the intended purpose or could be made so by remedial action.  </w:t>
      </w:r>
    </w:p>
    <w:p w14:paraId="492A550F" w14:textId="77777777" w:rsidR="00FF1580" w:rsidRPr="00FF1580" w:rsidRDefault="00FF1580" w:rsidP="00FF1580">
      <w:pPr>
        <w:spacing w:after="0" w:line="240" w:lineRule="auto"/>
        <w:jc w:val="both"/>
        <w:rPr>
          <w:rFonts w:ascii="Trebuchet MS" w:eastAsia="Times New Roman" w:hAnsi="Trebuchet MS" w:cs="Times New Roman"/>
          <w:color w:val="4F81BD"/>
          <w:sz w:val="24"/>
          <w:szCs w:val="24"/>
        </w:rPr>
      </w:pPr>
    </w:p>
    <w:p w14:paraId="780DF27E" w14:textId="77777777" w:rsidR="00FF1580" w:rsidRPr="00FF1580" w:rsidRDefault="00FF1580" w:rsidP="00FF1580">
      <w:pPr>
        <w:spacing w:after="0" w:line="240" w:lineRule="auto"/>
        <w:jc w:val="both"/>
        <w:rPr>
          <w:rFonts w:ascii="Trebuchet MS" w:eastAsia="Times New Roman" w:hAnsi="Trebuchet MS" w:cs="Times New Roman"/>
          <w:b/>
          <w:bCs/>
          <w:color w:val="000000"/>
          <w:sz w:val="24"/>
          <w:szCs w:val="24"/>
        </w:rPr>
      </w:pPr>
      <w:r w:rsidRPr="00FF1580">
        <w:rPr>
          <w:rFonts w:ascii="Trebuchet MS" w:eastAsia="Times New Roman" w:hAnsi="Trebuchet MS" w:cs="Times New Roman"/>
          <w:b/>
          <w:bCs/>
          <w:color w:val="000000"/>
          <w:sz w:val="24"/>
          <w:szCs w:val="24"/>
        </w:rPr>
        <w:t>RECOMMENDATION</w:t>
      </w:r>
    </w:p>
    <w:p w14:paraId="4A1CC801" w14:textId="77777777" w:rsidR="00FF1580" w:rsidRPr="00FF1580" w:rsidRDefault="00FF1580" w:rsidP="00FF1580">
      <w:pPr>
        <w:spacing w:after="0" w:line="240" w:lineRule="auto"/>
        <w:jc w:val="both"/>
        <w:rPr>
          <w:rFonts w:ascii="Trebuchet MS" w:eastAsia="Times New Roman" w:hAnsi="Trebuchet MS" w:cs="Times New Roman"/>
          <w:b/>
          <w:bCs/>
          <w:color w:val="000000"/>
          <w:sz w:val="24"/>
          <w:szCs w:val="24"/>
        </w:rPr>
      </w:pPr>
    </w:p>
    <w:p w14:paraId="4D31AE7F"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Refuse the planning application for the following reasons:</w:t>
      </w:r>
    </w:p>
    <w:p w14:paraId="060019B4"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4CE6C084" w14:textId="77777777" w:rsidR="00FF1580" w:rsidRPr="00FF1580" w:rsidRDefault="00FF1580" w:rsidP="00FF1580">
      <w:pPr>
        <w:numPr>
          <w:ilvl w:val="3"/>
          <w:numId w:val="39"/>
        </w:numPr>
        <w:ind w:left="709" w:hanging="283"/>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Unacceptable living conditions</w:t>
      </w:r>
    </w:p>
    <w:p w14:paraId="4B7475A6" w14:textId="77777777" w:rsidR="00FF1580" w:rsidRPr="00FF1580" w:rsidRDefault="00FF1580" w:rsidP="00FF1580">
      <w:pPr>
        <w:numPr>
          <w:ilvl w:val="3"/>
          <w:numId w:val="39"/>
        </w:numPr>
        <w:ind w:left="709" w:hanging="283"/>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Impact on neighbours</w:t>
      </w:r>
    </w:p>
    <w:p w14:paraId="4DD23825" w14:textId="77777777" w:rsidR="00FF1580" w:rsidRPr="00FF1580" w:rsidRDefault="00FF1580" w:rsidP="00FF1580">
      <w:pPr>
        <w:numPr>
          <w:ilvl w:val="3"/>
          <w:numId w:val="39"/>
        </w:numPr>
        <w:ind w:left="709" w:hanging="283"/>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Affordable Housing </w:t>
      </w:r>
    </w:p>
    <w:p w14:paraId="14C0D14A" w14:textId="77777777" w:rsidR="00FF1580" w:rsidRPr="00FF1580" w:rsidRDefault="00FF1580" w:rsidP="00FF1580">
      <w:pPr>
        <w:spacing w:after="0" w:line="240" w:lineRule="auto"/>
        <w:ind w:left="720"/>
        <w:contextualSpacing/>
        <w:jc w:val="both"/>
        <w:rPr>
          <w:rFonts w:ascii="Trebuchet MS" w:eastAsia="Times New Roman" w:hAnsi="Trebuchet MS" w:cs="Times New Roman"/>
          <w:color w:val="000000"/>
          <w:sz w:val="24"/>
          <w:szCs w:val="24"/>
        </w:rPr>
      </w:pPr>
    </w:p>
    <w:p w14:paraId="4429C24C"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Informatives:</w:t>
      </w:r>
    </w:p>
    <w:p w14:paraId="110FC337" w14:textId="77777777" w:rsidR="00FF1580" w:rsidRPr="00FF1580" w:rsidRDefault="00FF1580" w:rsidP="00FF1580">
      <w:pPr>
        <w:spacing w:after="0" w:line="240" w:lineRule="auto"/>
        <w:jc w:val="both"/>
        <w:rPr>
          <w:rFonts w:ascii="Trebuchet MS" w:eastAsia="Times New Roman" w:hAnsi="Trebuchet MS" w:cs="Times New Roman"/>
          <w:color w:val="000000"/>
          <w:sz w:val="24"/>
          <w:szCs w:val="24"/>
        </w:rPr>
      </w:pPr>
    </w:p>
    <w:p w14:paraId="24C0D426" w14:textId="77777777" w:rsidR="00FF1580" w:rsidRPr="00FF1580" w:rsidRDefault="00FF1580" w:rsidP="00FF1580">
      <w:pPr>
        <w:numPr>
          <w:ilvl w:val="0"/>
          <w:numId w:val="33"/>
        </w:numPr>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Refused Plans</w:t>
      </w:r>
    </w:p>
    <w:p w14:paraId="14976E01" w14:textId="77777777" w:rsidR="00FF1580" w:rsidRPr="00FF1580" w:rsidRDefault="00FF1580" w:rsidP="00FF1580">
      <w:pPr>
        <w:numPr>
          <w:ilvl w:val="0"/>
          <w:numId w:val="33"/>
        </w:numPr>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Positive and proactive </w:t>
      </w:r>
    </w:p>
    <w:p w14:paraId="1063D8AF" w14:textId="77777777" w:rsidR="00FF1580" w:rsidRPr="00FF1580" w:rsidRDefault="00FF1580" w:rsidP="00FF1580">
      <w:pPr>
        <w:numPr>
          <w:ilvl w:val="0"/>
          <w:numId w:val="33"/>
        </w:numPr>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Affordable Housing </w:t>
      </w:r>
    </w:p>
    <w:p w14:paraId="617C6D84" w14:textId="77777777" w:rsidR="00FF1580" w:rsidRPr="00FF1580" w:rsidRDefault="00FF1580" w:rsidP="00FF1580">
      <w:pPr>
        <w:numPr>
          <w:ilvl w:val="0"/>
          <w:numId w:val="33"/>
        </w:numPr>
        <w:contextualSpacing/>
        <w:jc w:val="both"/>
        <w:rPr>
          <w:rFonts w:ascii="Trebuchet MS" w:eastAsia="Times New Roman" w:hAnsi="Trebuchet MS" w:cs="Times New Roman"/>
          <w:color w:val="000000"/>
          <w:sz w:val="24"/>
          <w:szCs w:val="24"/>
        </w:rPr>
      </w:pPr>
      <w:r w:rsidRPr="00FF1580">
        <w:rPr>
          <w:rFonts w:ascii="Trebuchet MS" w:eastAsia="Times New Roman" w:hAnsi="Trebuchet MS" w:cs="Times New Roman"/>
          <w:color w:val="000000"/>
          <w:sz w:val="24"/>
          <w:szCs w:val="24"/>
        </w:rPr>
        <w:t xml:space="preserve">Planning Enforcement </w:t>
      </w:r>
    </w:p>
    <w:p w14:paraId="7D8246C7" w14:textId="77777777" w:rsidR="00FF1580" w:rsidRPr="00FF1580" w:rsidRDefault="00FF1580" w:rsidP="00FF1580">
      <w:pPr>
        <w:spacing w:after="0" w:line="240" w:lineRule="auto"/>
        <w:ind w:left="720"/>
        <w:contextualSpacing/>
        <w:jc w:val="both"/>
        <w:rPr>
          <w:rFonts w:ascii="Trebuchet MS" w:eastAsia="Times New Roman" w:hAnsi="Trebuchet MS" w:cs="Times New Roman"/>
          <w:color w:val="000000"/>
          <w:sz w:val="24"/>
          <w:szCs w:val="24"/>
        </w:rPr>
      </w:pPr>
    </w:p>
    <w:p w14:paraId="09E23ABB" w14:textId="77777777" w:rsidR="00FF1580" w:rsidRPr="00FF1580" w:rsidRDefault="00FF1580" w:rsidP="00FF1580">
      <w:pPr>
        <w:spacing w:after="0" w:line="240" w:lineRule="auto"/>
        <w:ind w:left="720"/>
        <w:contextualSpacing/>
        <w:jc w:val="both"/>
        <w:rPr>
          <w:rFonts w:ascii="Trebuchet MS" w:eastAsia="Times New Roman" w:hAnsi="Trebuchet MS" w:cs="Times New Roman"/>
          <w:color w:val="000000"/>
          <w:sz w:val="24"/>
          <w:szCs w:val="24"/>
        </w:rPr>
      </w:pPr>
    </w:p>
    <w:p w14:paraId="46F3C3EB" w14:textId="77777777" w:rsidR="00FF1580" w:rsidRPr="00FF1580" w:rsidRDefault="00FF1580" w:rsidP="00FF1580">
      <w:pPr>
        <w:autoSpaceDE w:val="0"/>
        <w:autoSpaceDN w:val="0"/>
        <w:spacing w:after="0" w:line="240" w:lineRule="auto"/>
        <w:rPr>
          <w:rFonts w:ascii="Times New Roman" w:eastAsia="Times New Roman" w:hAnsi="Times New Roman" w:cs="Times New Roman"/>
          <w:sz w:val="20"/>
          <w:szCs w:val="20"/>
          <w:lang w:eastAsia="en-GB"/>
        </w:rPr>
      </w:pPr>
    </w:p>
    <w:p w14:paraId="247B1AB6" w14:textId="77777777" w:rsidR="006B6E1B" w:rsidRPr="00FF1580" w:rsidRDefault="006B6E1B" w:rsidP="00FF1580"/>
    <w:sectPr w:rsidR="006B6E1B" w:rsidRPr="00FF1580" w:rsidSect="00A21F4C">
      <w:footerReference w:type="default" r:id="rId11"/>
      <w:pgSz w:w="11906" w:h="16838"/>
      <w:pgMar w:top="1134" w:right="1440" w:bottom="170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77FF3" w14:textId="77777777" w:rsidR="00203FF2" w:rsidRDefault="00203FF2" w:rsidP="00A37ABF">
      <w:pPr>
        <w:spacing w:after="0" w:line="240" w:lineRule="auto"/>
      </w:pPr>
      <w:r>
        <w:separator/>
      </w:r>
    </w:p>
  </w:endnote>
  <w:endnote w:type="continuationSeparator" w:id="0">
    <w:p w14:paraId="73B00F8A" w14:textId="77777777" w:rsidR="00203FF2" w:rsidRDefault="00203FF2" w:rsidP="00A3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54651"/>
      <w:docPartObj>
        <w:docPartGallery w:val="Page Numbers (Bottom of Page)"/>
        <w:docPartUnique/>
      </w:docPartObj>
    </w:sdtPr>
    <w:sdtEndPr>
      <w:rPr>
        <w:noProof/>
      </w:rPr>
    </w:sdtEndPr>
    <w:sdtContent>
      <w:p w14:paraId="57E09656" w14:textId="77777777" w:rsidR="001812F0" w:rsidRDefault="001812F0">
        <w:pPr>
          <w:pStyle w:val="Footer"/>
          <w:jc w:val="center"/>
        </w:pPr>
        <w:r>
          <w:fldChar w:fldCharType="begin"/>
        </w:r>
        <w:r>
          <w:instrText xml:space="preserve"> PAGE   \* MERGEFORMAT </w:instrText>
        </w:r>
        <w:r>
          <w:fldChar w:fldCharType="separate"/>
        </w:r>
        <w:r w:rsidR="004603A2">
          <w:rPr>
            <w:noProof/>
          </w:rPr>
          <w:t>6</w:t>
        </w:r>
        <w:r>
          <w:rPr>
            <w:noProof/>
          </w:rPr>
          <w:fldChar w:fldCharType="end"/>
        </w:r>
      </w:p>
    </w:sdtContent>
  </w:sdt>
  <w:p w14:paraId="57E09657" w14:textId="77777777" w:rsidR="001812F0" w:rsidRDefault="00181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05973" w14:textId="77777777" w:rsidR="00203FF2" w:rsidRDefault="00203FF2" w:rsidP="00A37ABF">
      <w:pPr>
        <w:spacing w:after="0" w:line="240" w:lineRule="auto"/>
      </w:pPr>
      <w:r>
        <w:separator/>
      </w:r>
    </w:p>
  </w:footnote>
  <w:footnote w:type="continuationSeparator" w:id="0">
    <w:p w14:paraId="704F8196" w14:textId="77777777" w:rsidR="00203FF2" w:rsidRDefault="00203FF2" w:rsidP="00A37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D40BF"/>
    <w:multiLevelType w:val="hybridMultilevel"/>
    <w:tmpl w:val="7060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041F4"/>
    <w:multiLevelType w:val="hybridMultilevel"/>
    <w:tmpl w:val="686C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90E75"/>
    <w:multiLevelType w:val="hybridMultilevel"/>
    <w:tmpl w:val="4F3C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368F5"/>
    <w:multiLevelType w:val="hybridMultilevel"/>
    <w:tmpl w:val="7DE05C38"/>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00135CF"/>
    <w:multiLevelType w:val="hybridMultilevel"/>
    <w:tmpl w:val="ECA62436"/>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5" w15:restartNumberingAfterBreak="0">
    <w:nsid w:val="12E8109B"/>
    <w:multiLevelType w:val="hybridMultilevel"/>
    <w:tmpl w:val="9A68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852DC"/>
    <w:multiLevelType w:val="hybridMultilevel"/>
    <w:tmpl w:val="F22AB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122869"/>
    <w:multiLevelType w:val="hybridMultilevel"/>
    <w:tmpl w:val="F6C2030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8" w15:restartNumberingAfterBreak="0">
    <w:nsid w:val="1CB215D9"/>
    <w:multiLevelType w:val="hybridMultilevel"/>
    <w:tmpl w:val="90A4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BA52E2"/>
    <w:multiLevelType w:val="hybridMultilevel"/>
    <w:tmpl w:val="02C4679E"/>
    <w:lvl w:ilvl="0" w:tplc="4B3811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01195A"/>
    <w:multiLevelType w:val="hybridMultilevel"/>
    <w:tmpl w:val="A21A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04C23"/>
    <w:multiLevelType w:val="hybridMultilevel"/>
    <w:tmpl w:val="4F920A7A"/>
    <w:lvl w:ilvl="0" w:tplc="1FB81FC0">
      <w:start w:val="2009"/>
      <w:numFmt w:val="decimal"/>
      <w:lvlText w:val="%1"/>
      <w:lvlJc w:val="left"/>
      <w:pPr>
        <w:tabs>
          <w:tab w:val="num" w:pos="1005"/>
        </w:tabs>
        <w:ind w:left="1005" w:hanging="705"/>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25223823"/>
    <w:multiLevelType w:val="hybridMultilevel"/>
    <w:tmpl w:val="1D3E3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3C05AD"/>
    <w:multiLevelType w:val="hybridMultilevel"/>
    <w:tmpl w:val="8E3E424A"/>
    <w:lvl w:ilvl="0" w:tplc="4CD02B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D16E0F"/>
    <w:multiLevelType w:val="hybridMultilevel"/>
    <w:tmpl w:val="5A92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013076"/>
    <w:multiLevelType w:val="hybridMultilevel"/>
    <w:tmpl w:val="9FB8D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09249C"/>
    <w:multiLevelType w:val="hybridMultilevel"/>
    <w:tmpl w:val="40544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F010E"/>
    <w:multiLevelType w:val="hybridMultilevel"/>
    <w:tmpl w:val="5EC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54F3F"/>
    <w:multiLevelType w:val="hybridMultilevel"/>
    <w:tmpl w:val="B848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BB31F7"/>
    <w:multiLevelType w:val="hybridMultilevel"/>
    <w:tmpl w:val="2E106BE2"/>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start w:val="1"/>
      <w:numFmt w:val="bullet"/>
      <w:lvlText w:val=""/>
      <w:lvlJc w:val="left"/>
      <w:pPr>
        <w:ind w:left="2865" w:hanging="360"/>
      </w:pPr>
      <w:rPr>
        <w:rFonts w:ascii="Wingdings" w:hAnsi="Wingdings" w:hint="default"/>
      </w:rPr>
    </w:lvl>
    <w:lvl w:ilvl="3" w:tplc="08090001">
      <w:start w:val="1"/>
      <w:numFmt w:val="bullet"/>
      <w:lvlText w:val=""/>
      <w:lvlJc w:val="left"/>
      <w:pPr>
        <w:ind w:left="3585" w:hanging="360"/>
      </w:pPr>
      <w:rPr>
        <w:rFonts w:ascii="Symbol" w:hAnsi="Symbol" w:hint="default"/>
      </w:rPr>
    </w:lvl>
    <w:lvl w:ilvl="4" w:tplc="08090003">
      <w:start w:val="1"/>
      <w:numFmt w:val="bullet"/>
      <w:lvlText w:val="o"/>
      <w:lvlJc w:val="left"/>
      <w:pPr>
        <w:ind w:left="4305" w:hanging="360"/>
      </w:pPr>
      <w:rPr>
        <w:rFonts w:ascii="Courier New" w:hAnsi="Courier New" w:cs="Courier New" w:hint="default"/>
      </w:rPr>
    </w:lvl>
    <w:lvl w:ilvl="5" w:tplc="08090005">
      <w:start w:val="1"/>
      <w:numFmt w:val="bullet"/>
      <w:lvlText w:val=""/>
      <w:lvlJc w:val="left"/>
      <w:pPr>
        <w:ind w:left="5025" w:hanging="360"/>
      </w:pPr>
      <w:rPr>
        <w:rFonts w:ascii="Wingdings" w:hAnsi="Wingdings" w:hint="default"/>
      </w:rPr>
    </w:lvl>
    <w:lvl w:ilvl="6" w:tplc="08090001">
      <w:start w:val="1"/>
      <w:numFmt w:val="bullet"/>
      <w:lvlText w:val=""/>
      <w:lvlJc w:val="left"/>
      <w:pPr>
        <w:ind w:left="5745" w:hanging="360"/>
      </w:pPr>
      <w:rPr>
        <w:rFonts w:ascii="Symbol" w:hAnsi="Symbol" w:hint="default"/>
      </w:rPr>
    </w:lvl>
    <w:lvl w:ilvl="7" w:tplc="08090003">
      <w:start w:val="1"/>
      <w:numFmt w:val="bullet"/>
      <w:lvlText w:val="o"/>
      <w:lvlJc w:val="left"/>
      <w:pPr>
        <w:ind w:left="6465" w:hanging="360"/>
      </w:pPr>
      <w:rPr>
        <w:rFonts w:ascii="Courier New" w:hAnsi="Courier New" w:cs="Courier New" w:hint="default"/>
      </w:rPr>
    </w:lvl>
    <w:lvl w:ilvl="8" w:tplc="08090005">
      <w:start w:val="1"/>
      <w:numFmt w:val="bullet"/>
      <w:lvlText w:val=""/>
      <w:lvlJc w:val="left"/>
      <w:pPr>
        <w:ind w:left="7185" w:hanging="360"/>
      </w:pPr>
      <w:rPr>
        <w:rFonts w:ascii="Wingdings" w:hAnsi="Wingdings" w:hint="default"/>
      </w:rPr>
    </w:lvl>
  </w:abstractNum>
  <w:abstractNum w:abstractNumId="20" w15:restartNumberingAfterBreak="0">
    <w:nsid w:val="33587DF5"/>
    <w:multiLevelType w:val="hybridMultilevel"/>
    <w:tmpl w:val="ED928A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623D70"/>
    <w:multiLevelType w:val="hybridMultilevel"/>
    <w:tmpl w:val="3F1430E6"/>
    <w:lvl w:ilvl="0" w:tplc="5844B2D6">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6D0772"/>
    <w:multiLevelType w:val="hybridMultilevel"/>
    <w:tmpl w:val="B3B4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44899"/>
    <w:multiLevelType w:val="hybridMultilevel"/>
    <w:tmpl w:val="8116B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2D3AD8"/>
    <w:multiLevelType w:val="hybridMultilevel"/>
    <w:tmpl w:val="CBC02B5A"/>
    <w:lvl w:ilvl="0" w:tplc="6116E3D4">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B177FD"/>
    <w:multiLevelType w:val="hybridMultilevel"/>
    <w:tmpl w:val="93C2FF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0FF2B31"/>
    <w:multiLevelType w:val="hybridMultilevel"/>
    <w:tmpl w:val="6076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B50D15"/>
    <w:multiLevelType w:val="hybridMultilevel"/>
    <w:tmpl w:val="472C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2E7C12"/>
    <w:multiLevelType w:val="hybridMultilevel"/>
    <w:tmpl w:val="456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202704"/>
    <w:multiLevelType w:val="hybridMultilevel"/>
    <w:tmpl w:val="E7009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7F6E01"/>
    <w:multiLevelType w:val="hybridMultilevel"/>
    <w:tmpl w:val="BC12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A85258"/>
    <w:multiLevelType w:val="hybridMultilevel"/>
    <w:tmpl w:val="F0F0DF18"/>
    <w:lvl w:ilvl="0" w:tplc="04744678">
      <w:start w:val="2007"/>
      <w:numFmt w:val="decimal"/>
      <w:lvlText w:val="%1"/>
      <w:lvlJc w:val="left"/>
      <w:pPr>
        <w:tabs>
          <w:tab w:val="num" w:pos="990"/>
        </w:tabs>
        <w:ind w:left="990" w:hanging="63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2" w15:restartNumberingAfterBreak="0">
    <w:nsid w:val="693B55C9"/>
    <w:multiLevelType w:val="hybridMultilevel"/>
    <w:tmpl w:val="69C2A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A563162"/>
    <w:multiLevelType w:val="hybridMultilevel"/>
    <w:tmpl w:val="2234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9745F"/>
    <w:multiLevelType w:val="hybridMultilevel"/>
    <w:tmpl w:val="747E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786C3A"/>
    <w:multiLevelType w:val="hybridMultilevel"/>
    <w:tmpl w:val="B9462E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59C28A1"/>
    <w:multiLevelType w:val="hybridMultilevel"/>
    <w:tmpl w:val="D7A4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793C1D"/>
    <w:multiLevelType w:val="hybridMultilevel"/>
    <w:tmpl w:val="DCB0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8400C5"/>
    <w:multiLevelType w:val="hybridMultilevel"/>
    <w:tmpl w:val="D34EE666"/>
    <w:lvl w:ilvl="0" w:tplc="D20A7CE4">
      <w:start w:val="1"/>
      <w:numFmt w:val="lowerRoman"/>
      <w:lvlText w:val="(%1)"/>
      <w:lvlJc w:val="left"/>
      <w:pPr>
        <w:ind w:left="1080" w:hanging="720"/>
      </w:pPr>
      <w:rPr>
        <w:rFonts w:ascii="Trebuchet MS" w:hAnsi="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9026390">
    <w:abstractNumId w:val="2"/>
  </w:num>
  <w:num w:numId="2" w16cid:durableId="900754785">
    <w:abstractNumId w:val="33"/>
  </w:num>
  <w:num w:numId="3" w16cid:durableId="1342975610">
    <w:abstractNumId w:val="16"/>
  </w:num>
  <w:num w:numId="4" w16cid:durableId="2057728808">
    <w:abstractNumId w:val="31"/>
    <w:lvlOverride w:ilvl="0">
      <w:startOverride w:val="20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41340801">
    <w:abstractNumId w:val="11"/>
    <w:lvlOverride w:ilvl="0">
      <w:startOverride w:val="200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5275136">
    <w:abstractNumId w:val="11"/>
  </w:num>
  <w:num w:numId="7" w16cid:durableId="1609699267">
    <w:abstractNumId w:val="7"/>
  </w:num>
  <w:num w:numId="8" w16cid:durableId="816268122">
    <w:abstractNumId w:val="19"/>
  </w:num>
  <w:num w:numId="9" w16cid:durableId="1412462469">
    <w:abstractNumId w:val="4"/>
  </w:num>
  <w:num w:numId="10" w16cid:durableId="1266963190">
    <w:abstractNumId w:val="13"/>
  </w:num>
  <w:num w:numId="11" w16cid:durableId="118308899">
    <w:abstractNumId w:val="18"/>
  </w:num>
  <w:num w:numId="12" w16cid:durableId="693073999">
    <w:abstractNumId w:val="26"/>
  </w:num>
  <w:num w:numId="13" w16cid:durableId="1644233344">
    <w:abstractNumId w:val="15"/>
  </w:num>
  <w:num w:numId="14" w16cid:durableId="2059669444">
    <w:abstractNumId w:val="32"/>
  </w:num>
  <w:num w:numId="15" w16cid:durableId="157355192">
    <w:abstractNumId w:val="29"/>
  </w:num>
  <w:num w:numId="16" w16cid:durableId="728846874">
    <w:abstractNumId w:val="27"/>
  </w:num>
  <w:num w:numId="17" w16cid:durableId="1235582744">
    <w:abstractNumId w:val="22"/>
  </w:num>
  <w:num w:numId="18" w16cid:durableId="742945692">
    <w:abstractNumId w:val="30"/>
  </w:num>
  <w:num w:numId="19" w16cid:durableId="1149127268">
    <w:abstractNumId w:val="0"/>
  </w:num>
  <w:num w:numId="20" w16cid:durableId="1442842845">
    <w:abstractNumId w:val="5"/>
  </w:num>
  <w:num w:numId="21" w16cid:durableId="769738235">
    <w:abstractNumId w:val="1"/>
  </w:num>
  <w:num w:numId="22" w16cid:durableId="589461868">
    <w:abstractNumId w:val="17"/>
  </w:num>
  <w:num w:numId="23" w16cid:durableId="1859460772">
    <w:abstractNumId w:val="28"/>
  </w:num>
  <w:num w:numId="24" w16cid:durableId="569659191">
    <w:abstractNumId w:val="10"/>
  </w:num>
  <w:num w:numId="25" w16cid:durableId="1521747302">
    <w:abstractNumId w:val="36"/>
  </w:num>
  <w:num w:numId="26" w16cid:durableId="180096697">
    <w:abstractNumId w:val="8"/>
  </w:num>
  <w:num w:numId="27" w16cid:durableId="799423853">
    <w:abstractNumId w:val="21"/>
  </w:num>
  <w:num w:numId="28" w16cid:durableId="1586110540">
    <w:abstractNumId w:val="23"/>
  </w:num>
  <w:num w:numId="29" w16cid:durableId="497615189">
    <w:abstractNumId w:val="12"/>
  </w:num>
  <w:num w:numId="30" w16cid:durableId="105542390">
    <w:abstractNumId w:val="35"/>
  </w:num>
  <w:num w:numId="31" w16cid:durableId="263542304">
    <w:abstractNumId w:val="37"/>
  </w:num>
  <w:num w:numId="32" w16cid:durableId="1936472454">
    <w:abstractNumId w:val="3"/>
  </w:num>
  <w:num w:numId="33" w16cid:durableId="1250701603">
    <w:abstractNumId w:val="6"/>
  </w:num>
  <w:num w:numId="34" w16cid:durableId="1714690047">
    <w:abstractNumId w:val="14"/>
  </w:num>
  <w:num w:numId="35" w16cid:durableId="1361321362">
    <w:abstractNumId w:val="34"/>
  </w:num>
  <w:num w:numId="36" w16cid:durableId="792745131">
    <w:abstractNumId w:val="38"/>
  </w:num>
  <w:num w:numId="37" w16cid:durableId="404110001">
    <w:abstractNumId w:val="24"/>
  </w:num>
  <w:num w:numId="38" w16cid:durableId="63527454">
    <w:abstractNumId w:val="9"/>
  </w:num>
  <w:num w:numId="39" w16cid:durableId="3605889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66456471">
    <w:abstractNumId w:val="20"/>
  </w:num>
  <w:num w:numId="41" w16cid:durableId="1386678925">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E32"/>
    <w:rsid w:val="0000370F"/>
    <w:rsid w:val="00005E31"/>
    <w:rsid w:val="00011AC3"/>
    <w:rsid w:val="00012DD8"/>
    <w:rsid w:val="00017403"/>
    <w:rsid w:val="00020349"/>
    <w:rsid w:val="00024FBB"/>
    <w:rsid w:val="000300B7"/>
    <w:rsid w:val="00050044"/>
    <w:rsid w:val="00053FDE"/>
    <w:rsid w:val="000566F6"/>
    <w:rsid w:val="00057E1D"/>
    <w:rsid w:val="000635B0"/>
    <w:rsid w:val="00065767"/>
    <w:rsid w:val="000660A6"/>
    <w:rsid w:val="0007472C"/>
    <w:rsid w:val="00087FEB"/>
    <w:rsid w:val="00094198"/>
    <w:rsid w:val="0009726D"/>
    <w:rsid w:val="0009732C"/>
    <w:rsid w:val="000A3296"/>
    <w:rsid w:val="000A713A"/>
    <w:rsid w:val="000B5E30"/>
    <w:rsid w:val="000C12AD"/>
    <w:rsid w:val="000C47CB"/>
    <w:rsid w:val="000D1B11"/>
    <w:rsid w:val="000D33CA"/>
    <w:rsid w:val="000E46CC"/>
    <w:rsid w:val="000F7D28"/>
    <w:rsid w:val="00105602"/>
    <w:rsid w:val="0010676E"/>
    <w:rsid w:val="00106D95"/>
    <w:rsid w:val="00110A41"/>
    <w:rsid w:val="00112E37"/>
    <w:rsid w:val="00114BAF"/>
    <w:rsid w:val="00124BB9"/>
    <w:rsid w:val="00125976"/>
    <w:rsid w:val="00140075"/>
    <w:rsid w:val="001438F1"/>
    <w:rsid w:val="0014546B"/>
    <w:rsid w:val="00147176"/>
    <w:rsid w:val="00152203"/>
    <w:rsid w:val="001566AB"/>
    <w:rsid w:val="001573C2"/>
    <w:rsid w:val="001645D7"/>
    <w:rsid w:val="00165208"/>
    <w:rsid w:val="00167DCF"/>
    <w:rsid w:val="00171270"/>
    <w:rsid w:val="00176E3A"/>
    <w:rsid w:val="001809AC"/>
    <w:rsid w:val="001812F0"/>
    <w:rsid w:val="00186A53"/>
    <w:rsid w:val="001916C7"/>
    <w:rsid w:val="00193A3D"/>
    <w:rsid w:val="001941F5"/>
    <w:rsid w:val="00194E4E"/>
    <w:rsid w:val="00195AF2"/>
    <w:rsid w:val="00196372"/>
    <w:rsid w:val="00197977"/>
    <w:rsid w:val="001A1082"/>
    <w:rsid w:val="001A3662"/>
    <w:rsid w:val="001A554B"/>
    <w:rsid w:val="001B030C"/>
    <w:rsid w:val="001B167E"/>
    <w:rsid w:val="001B6F52"/>
    <w:rsid w:val="001C65CB"/>
    <w:rsid w:val="001C6CFA"/>
    <w:rsid w:val="001E186B"/>
    <w:rsid w:val="001E56D5"/>
    <w:rsid w:val="001F1353"/>
    <w:rsid w:val="001F3FCD"/>
    <w:rsid w:val="001F5F98"/>
    <w:rsid w:val="00203FF2"/>
    <w:rsid w:val="002075FE"/>
    <w:rsid w:val="00223C99"/>
    <w:rsid w:val="002249D0"/>
    <w:rsid w:val="00233A21"/>
    <w:rsid w:val="00241733"/>
    <w:rsid w:val="00241D0D"/>
    <w:rsid w:val="00254F93"/>
    <w:rsid w:val="002603EC"/>
    <w:rsid w:val="00260635"/>
    <w:rsid w:val="0026172B"/>
    <w:rsid w:val="00261D6D"/>
    <w:rsid w:val="00265821"/>
    <w:rsid w:val="0027646C"/>
    <w:rsid w:val="00280458"/>
    <w:rsid w:val="00296815"/>
    <w:rsid w:val="0029784F"/>
    <w:rsid w:val="002B0769"/>
    <w:rsid w:val="002C0616"/>
    <w:rsid w:val="002C3121"/>
    <w:rsid w:val="002D2F0C"/>
    <w:rsid w:val="002D4C7E"/>
    <w:rsid w:val="002E0EAF"/>
    <w:rsid w:val="002E3115"/>
    <w:rsid w:val="002E617B"/>
    <w:rsid w:val="002F4BDA"/>
    <w:rsid w:val="00300A9C"/>
    <w:rsid w:val="003136AD"/>
    <w:rsid w:val="00317AFD"/>
    <w:rsid w:val="003214DA"/>
    <w:rsid w:val="00324BCB"/>
    <w:rsid w:val="003268E8"/>
    <w:rsid w:val="003273ED"/>
    <w:rsid w:val="00332E0A"/>
    <w:rsid w:val="003373E4"/>
    <w:rsid w:val="00337988"/>
    <w:rsid w:val="00342828"/>
    <w:rsid w:val="00344010"/>
    <w:rsid w:val="00344E32"/>
    <w:rsid w:val="00350F5E"/>
    <w:rsid w:val="00355CF9"/>
    <w:rsid w:val="00357D07"/>
    <w:rsid w:val="00360AB4"/>
    <w:rsid w:val="003631C3"/>
    <w:rsid w:val="0037094E"/>
    <w:rsid w:val="0037123C"/>
    <w:rsid w:val="0037127A"/>
    <w:rsid w:val="003A1B40"/>
    <w:rsid w:val="003A3220"/>
    <w:rsid w:val="003A6DA1"/>
    <w:rsid w:val="003B0ABB"/>
    <w:rsid w:val="003C1993"/>
    <w:rsid w:val="003D5E35"/>
    <w:rsid w:val="003D6FB4"/>
    <w:rsid w:val="003E57B1"/>
    <w:rsid w:val="003F6184"/>
    <w:rsid w:val="003F63DD"/>
    <w:rsid w:val="00404E24"/>
    <w:rsid w:val="00407C1C"/>
    <w:rsid w:val="00410BDB"/>
    <w:rsid w:val="00414127"/>
    <w:rsid w:val="004154B1"/>
    <w:rsid w:val="00416B2A"/>
    <w:rsid w:val="0042381C"/>
    <w:rsid w:val="004435ED"/>
    <w:rsid w:val="00443B75"/>
    <w:rsid w:val="00443DC7"/>
    <w:rsid w:val="004471BE"/>
    <w:rsid w:val="00454E01"/>
    <w:rsid w:val="004603A2"/>
    <w:rsid w:val="00475C03"/>
    <w:rsid w:val="00480E76"/>
    <w:rsid w:val="00481D72"/>
    <w:rsid w:val="00484939"/>
    <w:rsid w:val="00484C8C"/>
    <w:rsid w:val="004A15B5"/>
    <w:rsid w:val="004A524B"/>
    <w:rsid w:val="004A536B"/>
    <w:rsid w:val="004A585B"/>
    <w:rsid w:val="004A6240"/>
    <w:rsid w:val="004B0DA4"/>
    <w:rsid w:val="004C5475"/>
    <w:rsid w:val="004D2860"/>
    <w:rsid w:val="004D525E"/>
    <w:rsid w:val="004E6F9F"/>
    <w:rsid w:val="004F3F9C"/>
    <w:rsid w:val="005022BD"/>
    <w:rsid w:val="005069CC"/>
    <w:rsid w:val="00511D95"/>
    <w:rsid w:val="00511EF8"/>
    <w:rsid w:val="00516120"/>
    <w:rsid w:val="005164A0"/>
    <w:rsid w:val="00527685"/>
    <w:rsid w:val="0053492B"/>
    <w:rsid w:val="00540A51"/>
    <w:rsid w:val="005534E6"/>
    <w:rsid w:val="0056109B"/>
    <w:rsid w:val="00565DD6"/>
    <w:rsid w:val="005668C6"/>
    <w:rsid w:val="00570444"/>
    <w:rsid w:val="00570D02"/>
    <w:rsid w:val="00571B0B"/>
    <w:rsid w:val="005721A1"/>
    <w:rsid w:val="005723A3"/>
    <w:rsid w:val="00580A15"/>
    <w:rsid w:val="00584BBF"/>
    <w:rsid w:val="00584D73"/>
    <w:rsid w:val="005952CB"/>
    <w:rsid w:val="005A3E6D"/>
    <w:rsid w:val="005B5EF6"/>
    <w:rsid w:val="005B67BA"/>
    <w:rsid w:val="005C2035"/>
    <w:rsid w:val="005C6CFB"/>
    <w:rsid w:val="005D1C2E"/>
    <w:rsid w:val="005D1E6A"/>
    <w:rsid w:val="005D2A57"/>
    <w:rsid w:val="005D33E7"/>
    <w:rsid w:val="005D74CA"/>
    <w:rsid w:val="005E7888"/>
    <w:rsid w:val="005F0A39"/>
    <w:rsid w:val="005F37EF"/>
    <w:rsid w:val="006103BD"/>
    <w:rsid w:val="00611DE3"/>
    <w:rsid w:val="006144F2"/>
    <w:rsid w:val="00615E3C"/>
    <w:rsid w:val="00616361"/>
    <w:rsid w:val="006240B4"/>
    <w:rsid w:val="00627945"/>
    <w:rsid w:val="006337A5"/>
    <w:rsid w:val="00633DEB"/>
    <w:rsid w:val="00646E32"/>
    <w:rsid w:val="00667720"/>
    <w:rsid w:val="00684CFE"/>
    <w:rsid w:val="006853AF"/>
    <w:rsid w:val="006869DE"/>
    <w:rsid w:val="00690687"/>
    <w:rsid w:val="00690E18"/>
    <w:rsid w:val="006914DE"/>
    <w:rsid w:val="00694193"/>
    <w:rsid w:val="006970F4"/>
    <w:rsid w:val="006A41A2"/>
    <w:rsid w:val="006A66A8"/>
    <w:rsid w:val="006B34B3"/>
    <w:rsid w:val="006B379B"/>
    <w:rsid w:val="006B3C11"/>
    <w:rsid w:val="006B4A37"/>
    <w:rsid w:val="006B646A"/>
    <w:rsid w:val="006B6E1B"/>
    <w:rsid w:val="006C622E"/>
    <w:rsid w:val="006D1FF3"/>
    <w:rsid w:val="006D566A"/>
    <w:rsid w:val="006E34AF"/>
    <w:rsid w:val="006F07CC"/>
    <w:rsid w:val="006F3382"/>
    <w:rsid w:val="006F53A1"/>
    <w:rsid w:val="006F6B4F"/>
    <w:rsid w:val="006F7971"/>
    <w:rsid w:val="00704130"/>
    <w:rsid w:val="007067BB"/>
    <w:rsid w:val="00713729"/>
    <w:rsid w:val="00731DFE"/>
    <w:rsid w:val="007344C2"/>
    <w:rsid w:val="007407CE"/>
    <w:rsid w:val="00744C4B"/>
    <w:rsid w:val="0075048E"/>
    <w:rsid w:val="00756431"/>
    <w:rsid w:val="0076218A"/>
    <w:rsid w:val="00763C61"/>
    <w:rsid w:val="00766C86"/>
    <w:rsid w:val="0077032A"/>
    <w:rsid w:val="00772C83"/>
    <w:rsid w:val="00773E37"/>
    <w:rsid w:val="00773E73"/>
    <w:rsid w:val="00786DC2"/>
    <w:rsid w:val="007A0144"/>
    <w:rsid w:val="007A0D3C"/>
    <w:rsid w:val="007A7E9E"/>
    <w:rsid w:val="007B21DF"/>
    <w:rsid w:val="007B26CA"/>
    <w:rsid w:val="007B56D8"/>
    <w:rsid w:val="007C13AE"/>
    <w:rsid w:val="007C1DCA"/>
    <w:rsid w:val="007C3042"/>
    <w:rsid w:val="007C4C09"/>
    <w:rsid w:val="007D6D72"/>
    <w:rsid w:val="007E17EF"/>
    <w:rsid w:val="007E2166"/>
    <w:rsid w:val="007F65BA"/>
    <w:rsid w:val="008037BF"/>
    <w:rsid w:val="00810C1C"/>
    <w:rsid w:val="00814824"/>
    <w:rsid w:val="008149EF"/>
    <w:rsid w:val="00814A50"/>
    <w:rsid w:val="00845780"/>
    <w:rsid w:val="008505AE"/>
    <w:rsid w:val="00850E6C"/>
    <w:rsid w:val="00873783"/>
    <w:rsid w:val="008767E7"/>
    <w:rsid w:val="00880078"/>
    <w:rsid w:val="0088518E"/>
    <w:rsid w:val="008879E3"/>
    <w:rsid w:val="008A1584"/>
    <w:rsid w:val="008A321D"/>
    <w:rsid w:val="008A63CD"/>
    <w:rsid w:val="008A7539"/>
    <w:rsid w:val="008B2FFB"/>
    <w:rsid w:val="008D2BE7"/>
    <w:rsid w:val="008E0DB8"/>
    <w:rsid w:val="008E4A31"/>
    <w:rsid w:val="008E4F28"/>
    <w:rsid w:val="008F7F8F"/>
    <w:rsid w:val="00912D8B"/>
    <w:rsid w:val="00923613"/>
    <w:rsid w:val="00931CCE"/>
    <w:rsid w:val="00937ACC"/>
    <w:rsid w:val="00940BEF"/>
    <w:rsid w:val="00942FD1"/>
    <w:rsid w:val="00951D17"/>
    <w:rsid w:val="00952004"/>
    <w:rsid w:val="00952846"/>
    <w:rsid w:val="00961DD9"/>
    <w:rsid w:val="0096227D"/>
    <w:rsid w:val="00962D3A"/>
    <w:rsid w:val="009638C4"/>
    <w:rsid w:val="00973530"/>
    <w:rsid w:val="00977F23"/>
    <w:rsid w:val="0098252D"/>
    <w:rsid w:val="00984C24"/>
    <w:rsid w:val="00994069"/>
    <w:rsid w:val="00997375"/>
    <w:rsid w:val="009A058F"/>
    <w:rsid w:val="009A207C"/>
    <w:rsid w:val="009A27C2"/>
    <w:rsid w:val="009A4520"/>
    <w:rsid w:val="009A5572"/>
    <w:rsid w:val="009B3CF6"/>
    <w:rsid w:val="009D5A43"/>
    <w:rsid w:val="009D7203"/>
    <w:rsid w:val="009D7977"/>
    <w:rsid w:val="009E01C9"/>
    <w:rsid w:val="009E36DE"/>
    <w:rsid w:val="009E5368"/>
    <w:rsid w:val="009E597B"/>
    <w:rsid w:val="009E7401"/>
    <w:rsid w:val="009F1ED9"/>
    <w:rsid w:val="009F64E4"/>
    <w:rsid w:val="00A034DC"/>
    <w:rsid w:val="00A05E3E"/>
    <w:rsid w:val="00A06376"/>
    <w:rsid w:val="00A07AF2"/>
    <w:rsid w:val="00A11E55"/>
    <w:rsid w:val="00A2034C"/>
    <w:rsid w:val="00A21F4C"/>
    <w:rsid w:val="00A2342B"/>
    <w:rsid w:val="00A32674"/>
    <w:rsid w:val="00A34988"/>
    <w:rsid w:val="00A36B70"/>
    <w:rsid w:val="00A37ABF"/>
    <w:rsid w:val="00A5220C"/>
    <w:rsid w:val="00A53958"/>
    <w:rsid w:val="00A54170"/>
    <w:rsid w:val="00A56629"/>
    <w:rsid w:val="00A56D81"/>
    <w:rsid w:val="00A60353"/>
    <w:rsid w:val="00A672F9"/>
    <w:rsid w:val="00A67358"/>
    <w:rsid w:val="00A70EE9"/>
    <w:rsid w:val="00A71FD9"/>
    <w:rsid w:val="00A822DE"/>
    <w:rsid w:val="00A82AA3"/>
    <w:rsid w:val="00A91BDC"/>
    <w:rsid w:val="00A923C9"/>
    <w:rsid w:val="00AA0CEA"/>
    <w:rsid w:val="00AA2695"/>
    <w:rsid w:val="00AA41A8"/>
    <w:rsid w:val="00AA43D7"/>
    <w:rsid w:val="00AB446B"/>
    <w:rsid w:val="00AB7FB0"/>
    <w:rsid w:val="00AD222C"/>
    <w:rsid w:val="00AD4C65"/>
    <w:rsid w:val="00AD6C31"/>
    <w:rsid w:val="00AE0980"/>
    <w:rsid w:val="00AE0DF2"/>
    <w:rsid w:val="00AE0F29"/>
    <w:rsid w:val="00AE3631"/>
    <w:rsid w:val="00B12A81"/>
    <w:rsid w:val="00B13757"/>
    <w:rsid w:val="00B2096C"/>
    <w:rsid w:val="00B21AE3"/>
    <w:rsid w:val="00B27BC3"/>
    <w:rsid w:val="00B27C26"/>
    <w:rsid w:val="00B35093"/>
    <w:rsid w:val="00B43DA7"/>
    <w:rsid w:val="00B53A0B"/>
    <w:rsid w:val="00B53C61"/>
    <w:rsid w:val="00B5592F"/>
    <w:rsid w:val="00B61857"/>
    <w:rsid w:val="00B632F0"/>
    <w:rsid w:val="00B66988"/>
    <w:rsid w:val="00B70441"/>
    <w:rsid w:val="00B72922"/>
    <w:rsid w:val="00B7595B"/>
    <w:rsid w:val="00B809C6"/>
    <w:rsid w:val="00B81EB8"/>
    <w:rsid w:val="00B87F83"/>
    <w:rsid w:val="00B914C0"/>
    <w:rsid w:val="00B95431"/>
    <w:rsid w:val="00B96287"/>
    <w:rsid w:val="00BB384C"/>
    <w:rsid w:val="00BB54CF"/>
    <w:rsid w:val="00BB73C8"/>
    <w:rsid w:val="00BC03FE"/>
    <w:rsid w:val="00BC7962"/>
    <w:rsid w:val="00BD43C9"/>
    <w:rsid w:val="00BF4042"/>
    <w:rsid w:val="00BF684F"/>
    <w:rsid w:val="00BF6ED2"/>
    <w:rsid w:val="00C0355A"/>
    <w:rsid w:val="00C10421"/>
    <w:rsid w:val="00C10D72"/>
    <w:rsid w:val="00C1596E"/>
    <w:rsid w:val="00C15D37"/>
    <w:rsid w:val="00C22376"/>
    <w:rsid w:val="00C22B05"/>
    <w:rsid w:val="00C41B62"/>
    <w:rsid w:val="00C50469"/>
    <w:rsid w:val="00C53457"/>
    <w:rsid w:val="00C76058"/>
    <w:rsid w:val="00C82358"/>
    <w:rsid w:val="00C86937"/>
    <w:rsid w:val="00C87E03"/>
    <w:rsid w:val="00C933D3"/>
    <w:rsid w:val="00C9483E"/>
    <w:rsid w:val="00CA0F3B"/>
    <w:rsid w:val="00CA47FF"/>
    <w:rsid w:val="00CA6FC3"/>
    <w:rsid w:val="00CA79CA"/>
    <w:rsid w:val="00CB09CD"/>
    <w:rsid w:val="00CB16B3"/>
    <w:rsid w:val="00CB195D"/>
    <w:rsid w:val="00CB39A5"/>
    <w:rsid w:val="00CB493C"/>
    <w:rsid w:val="00CD3646"/>
    <w:rsid w:val="00CD5E54"/>
    <w:rsid w:val="00CD7190"/>
    <w:rsid w:val="00CE03D8"/>
    <w:rsid w:val="00CE4485"/>
    <w:rsid w:val="00CE4A21"/>
    <w:rsid w:val="00D07FB4"/>
    <w:rsid w:val="00D1398D"/>
    <w:rsid w:val="00D17035"/>
    <w:rsid w:val="00D22BE5"/>
    <w:rsid w:val="00D315DF"/>
    <w:rsid w:val="00D35598"/>
    <w:rsid w:val="00D40856"/>
    <w:rsid w:val="00D43A50"/>
    <w:rsid w:val="00D44170"/>
    <w:rsid w:val="00D4486E"/>
    <w:rsid w:val="00D44B74"/>
    <w:rsid w:val="00D45AFF"/>
    <w:rsid w:val="00D45E0F"/>
    <w:rsid w:val="00D509B2"/>
    <w:rsid w:val="00D53D8B"/>
    <w:rsid w:val="00D54B1F"/>
    <w:rsid w:val="00D56C2F"/>
    <w:rsid w:val="00D617D8"/>
    <w:rsid w:val="00D65B29"/>
    <w:rsid w:val="00D6623E"/>
    <w:rsid w:val="00D76A9F"/>
    <w:rsid w:val="00D85CE9"/>
    <w:rsid w:val="00D94151"/>
    <w:rsid w:val="00D96BBD"/>
    <w:rsid w:val="00D97355"/>
    <w:rsid w:val="00DA130C"/>
    <w:rsid w:val="00DA6150"/>
    <w:rsid w:val="00DB0567"/>
    <w:rsid w:val="00DB0787"/>
    <w:rsid w:val="00DB688D"/>
    <w:rsid w:val="00DC115A"/>
    <w:rsid w:val="00DC5D88"/>
    <w:rsid w:val="00DD046F"/>
    <w:rsid w:val="00DD2818"/>
    <w:rsid w:val="00DD3C51"/>
    <w:rsid w:val="00DD40ED"/>
    <w:rsid w:val="00DF3681"/>
    <w:rsid w:val="00E0266A"/>
    <w:rsid w:val="00E147BE"/>
    <w:rsid w:val="00E15B6F"/>
    <w:rsid w:val="00E17716"/>
    <w:rsid w:val="00E2421A"/>
    <w:rsid w:val="00E322B9"/>
    <w:rsid w:val="00E43260"/>
    <w:rsid w:val="00E50C98"/>
    <w:rsid w:val="00E57926"/>
    <w:rsid w:val="00E613CE"/>
    <w:rsid w:val="00E65A27"/>
    <w:rsid w:val="00E704ED"/>
    <w:rsid w:val="00E71C9B"/>
    <w:rsid w:val="00E76575"/>
    <w:rsid w:val="00E82ECF"/>
    <w:rsid w:val="00E86789"/>
    <w:rsid w:val="00E87EA9"/>
    <w:rsid w:val="00E9402A"/>
    <w:rsid w:val="00E9462B"/>
    <w:rsid w:val="00E95480"/>
    <w:rsid w:val="00EA0C2F"/>
    <w:rsid w:val="00EA3307"/>
    <w:rsid w:val="00EA3A85"/>
    <w:rsid w:val="00EA58D5"/>
    <w:rsid w:val="00EA6640"/>
    <w:rsid w:val="00EB2C7F"/>
    <w:rsid w:val="00EB2F51"/>
    <w:rsid w:val="00EB6114"/>
    <w:rsid w:val="00EB6690"/>
    <w:rsid w:val="00EB692E"/>
    <w:rsid w:val="00EB7D96"/>
    <w:rsid w:val="00EB7EBF"/>
    <w:rsid w:val="00EC0217"/>
    <w:rsid w:val="00EC656B"/>
    <w:rsid w:val="00ED4885"/>
    <w:rsid w:val="00EE46FB"/>
    <w:rsid w:val="00EF04ED"/>
    <w:rsid w:val="00EF25D5"/>
    <w:rsid w:val="00EF4511"/>
    <w:rsid w:val="00F026E2"/>
    <w:rsid w:val="00F050CB"/>
    <w:rsid w:val="00F05D76"/>
    <w:rsid w:val="00F1309A"/>
    <w:rsid w:val="00F34B5F"/>
    <w:rsid w:val="00F410D6"/>
    <w:rsid w:val="00F43B41"/>
    <w:rsid w:val="00F56572"/>
    <w:rsid w:val="00F576A5"/>
    <w:rsid w:val="00F60388"/>
    <w:rsid w:val="00F606F7"/>
    <w:rsid w:val="00F6668D"/>
    <w:rsid w:val="00F66E12"/>
    <w:rsid w:val="00F82FFD"/>
    <w:rsid w:val="00F85848"/>
    <w:rsid w:val="00F91579"/>
    <w:rsid w:val="00F92D4C"/>
    <w:rsid w:val="00F9356D"/>
    <w:rsid w:val="00F9364F"/>
    <w:rsid w:val="00FA650E"/>
    <w:rsid w:val="00FA6C51"/>
    <w:rsid w:val="00FA770B"/>
    <w:rsid w:val="00FB2BF9"/>
    <w:rsid w:val="00FC3263"/>
    <w:rsid w:val="00FD210E"/>
    <w:rsid w:val="00FD3E10"/>
    <w:rsid w:val="00FD7EF4"/>
    <w:rsid w:val="00FE08C2"/>
    <w:rsid w:val="00FE1FD1"/>
    <w:rsid w:val="00FF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95AC"/>
  <w15:docId w15:val="{0A8E6C31-C6E0-4B90-ACCC-E9A2C626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styleId="BodyText">
    <w:name w:val="Body Text"/>
    <w:basedOn w:val="Normal"/>
    <w:link w:val="BodyTextChar"/>
    <w:uiPriority w:val="99"/>
    <w:semiHidden/>
    <w:unhideWhenUsed/>
    <w:rsid w:val="00E704ED"/>
    <w:pPr>
      <w:spacing w:after="120"/>
    </w:pPr>
  </w:style>
  <w:style w:type="character" w:customStyle="1" w:styleId="BodyTextChar">
    <w:name w:val="Body Text Char"/>
    <w:basedOn w:val="DefaultParagraphFont"/>
    <w:link w:val="BodyText"/>
    <w:uiPriority w:val="99"/>
    <w:semiHidden/>
    <w:rsid w:val="00E70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8268">
      <w:bodyDiv w:val="1"/>
      <w:marLeft w:val="0"/>
      <w:marRight w:val="0"/>
      <w:marTop w:val="0"/>
      <w:marBottom w:val="0"/>
      <w:divBdr>
        <w:top w:val="none" w:sz="0" w:space="0" w:color="auto"/>
        <w:left w:val="none" w:sz="0" w:space="0" w:color="auto"/>
        <w:bottom w:val="none" w:sz="0" w:space="0" w:color="auto"/>
        <w:right w:val="none" w:sz="0" w:space="0" w:color="auto"/>
      </w:divBdr>
    </w:div>
    <w:div w:id="15161520">
      <w:bodyDiv w:val="1"/>
      <w:marLeft w:val="0"/>
      <w:marRight w:val="0"/>
      <w:marTop w:val="0"/>
      <w:marBottom w:val="0"/>
      <w:divBdr>
        <w:top w:val="none" w:sz="0" w:space="0" w:color="auto"/>
        <w:left w:val="none" w:sz="0" w:space="0" w:color="auto"/>
        <w:bottom w:val="none" w:sz="0" w:space="0" w:color="auto"/>
        <w:right w:val="none" w:sz="0" w:space="0" w:color="auto"/>
      </w:divBdr>
    </w:div>
    <w:div w:id="19549063">
      <w:bodyDiv w:val="1"/>
      <w:marLeft w:val="0"/>
      <w:marRight w:val="0"/>
      <w:marTop w:val="0"/>
      <w:marBottom w:val="0"/>
      <w:divBdr>
        <w:top w:val="none" w:sz="0" w:space="0" w:color="auto"/>
        <w:left w:val="none" w:sz="0" w:space="0" w:color="auto"/>
        <w:bottom w:val="none" w:sz="0" w:space="0" w:color="auto"/>
        <w:right w:val="none" w:sz="0" w:space="0" w:color="auto"/>
      </w:divBdr>
    </w:div>
    <w:div w:id="64493658">
      <w:bodyDiv w:val="1"/>
      <w:marLeft w:val="0"/>
      <w:marRight w:val="0"/>
      <w:marTop w:val="0"/>
      <w:marBottom w:val="0"/>
      <w:divBdr>
        <w:top w:val="none" w:sz="0" w:space="0" w:color="auto"/>
        <w:left w:val="none" w:sz="0" w:space="0" w:color="auto"/>
        <w:bottom w:val="none" w:sz="0" w:space="0" w:color="auto"/>
        <w:right w:val="none" w:sz="0" w:space="0" w:color="auto"/>
      </w:divBdr>
    </w:div>
    <w:div w:id="491026087">
      <w:bodyDiv w:val="1"/>
      <w:marLeft w:val="0"/>
      <w:marRight w:val="0"/>
      <w:marTop w:val="0"/>
      <w:marBottom w:val="0"/>
      <w:divBdr>
        <w:top w:val="none" w:sz="0" w:space="0" w:color="auto"/>
        <w:left w:val="none" w:sz="0" w:space="0" w:color="auto"/>
        <w:bottom w:val="none" w:sz="0" w:space="0" w:color="auto"/>
        <w:right w:val="none" w:sz="0" w:space="0" w:color="auto"/>
      </w:divBdr>
    </w:div>
    <w:div w:id="813832923">
      <w:bodyDiv w:val="1"/>
      <w:marLeft w:val="0"/>
      <w:marRight w:val="0"/>
      <w:marTop w:val="0"/>
      <w:marBottom w:val="0"/>
      <w:divBdr>
        <w:top w:val="none" w:sz="0" w:space="0" w:color="auto"/>
        <w:left w:val="none" w:sz="0" w:space="0" w:color="auto"/>
        <w:bottom w:val="none" w:sz="0" w:space="0" w:color="auto"/>
        <w:right w:val="none" w:sz="0" w:space="0" w:color="auto"/>
      </w:divBdr>
    </w:div>
    <w:div w:id="857430248">
      <w:bodyDiv w:val="1"/>
      <w:marLeft w:val="0"/>
      <w:marRight w:val="0"/>
      <w:marTop w:val="0"/>
      <w:marBottom w:val="0"/>
      <w:divBdr>
        <w:top w:val="none" w:sz="0" w:space="0" w:color="auto"/>
        <w:left w:val="none" w:sz="0" w:space="0" w:color="auto"/>
        <w:bottom w:val="none" w:sz="0" w:space="0" w:color="auto"/>
        <w:right w:val="none" w:sz="0" w:space="0" w:color="auto"/>
      </w:divBdr>
    </w:div>
    <w:div w:id="906651968">
      <w:bodyDiv w:val="1"/>
      <w:marLeft w:val="0"/>
      <w:marRight w:val="0"/>
      <w:marTop w:val="0"/>
      <w:marBottom w:val="0"/>
      <w:divBdr>
        <w:top w:val="none" w:sz="0" w:space="0" w:color="auto"/>
        <w:left w:val="none" w:sz="0" w:space="0" w:color="auto"/>
        <w:bottom w:val="none" w:sz="0" w:space="0" w:color="auto"/>
        <w:right w:val="none" w:sz="0" w:space="0" w:color="auto"/>
      </w:divBdr>
    </w:div>
    <w:div w:id="1054617542">
      <w:bodyDiv w:val="1"/>
      <w:marLeft w:val="0"/>
      <w:marRight w:val="0"/>
      <w:marTop w:val="0"/>
      <w:marBottom w:val="0"/>
      <w:divBdr>
        <w:top w:val="none" w:sz="0" w:space="0" w:color="auto"/>
        <w:left w:val="none" w:sz="0" w:space="0" w:color="auto"/>
        <w:bottom w:val="none" w:sz="0" w:space="0" w:color="auto"/>
        <w:right w:val="none" w:sz="0" w:space="0" w:color="auto"/>
      </w:divBdr>
    </w:div>
    <w:div w:id="1067533051">
      <w:bodyDiv w:val="1"/>
      <w:marLeft w:val="0"/>
      <w:marRight w:val="0"/>
      <w:marTop w:val="0"/>
      <w:marBottom w:val="0"/>
      <w:divBdr>
        <w:top w:val="none" w:sz="0" w:space="0" w:color="auto"/>
        <w:left w:val="none" w:sz="0" w:space="0" w:color="auto"/>
        <w:bottom w:val="none" w:sz="0" w:space="0" w:color="auto"/>
        <w:right w:val="none" w:sz="0" w:space="0" w:color="auto"/>
      </w:divBdr>
    </w:div>
    <w:div w:id="1189756931">
      <w:bodyDiv w:val="1"/>
      <w:marLeft w:val="0"/>
      <w:marRight w:val="0"/>
      <w:marTop w:val="0"/>
      <w:marBottom w:val="0"/>
      <w:divBdr>
        <w:top w:val="none" w:sz="0" w:space="0" w:color="auto"/>
        <w:left w:val="none" w:sz="0" w:space="0" w:color="auto"/>
        <w:bottom w:val="none" w:sz="0" w:space="0" w:color="auto"/>
        <w:right w:val="none" w:sz="0" w:space="0" w:color="auto"/>
      </w:divBdr>
    </w:div>
    <w:div w:id="1208225425">
      <w:bodyDiv w:val="1"/>
      <w:marLeft w:val="0"/>
      <w:marRight w:val="0"/>
      <w:marTop w:val="0"/>
      <w:marBottom w:val="0"/>
      <w:divBdr>
        <w:top w:val="none" w:sz="0" w:space="0" w:color="auto"/>
        <w:left w:val="none" w:sz="0" w:space="0" w:color="auto"/>
        <w:bottom w:val="none" w:sz="0" w:space="0" w:color="auto"/>
        <w:right w:val="none" w:sz="0" w:space="0" w:color="auto"/>
      </w:divBdr>
    </w:div>
    <w:div w:id="1233393341">
      <w:bodyDiv w:val="1"/>
      <w:marLeft w:val="0"/>
      <w:marRight w:val="0"/>
      <w:marTop w:val="0"/>
      <w:marBottom w:val="0"/>
      <w:divBdr>
        <w:top w:val="none" w:sz="0" w:space="0" w:color="auto"/>
        <w:left w:val="none" w:sz="0" w:space="0" w:color="auto"/>
        <w:bottom w:val="none" w:sz="0" w:space="0" w:color="auto"/>
        <w:right w:val="none" w:sz="0" w:space="0" w:color="auto"/>
      </w:divBdr>
    </w:div>
    <w:div w:id="1272393403">
      <w:bodyDiv w:val="1"/>
      <w:marLeft w:val="0"/>
      <w:marRight w:val="0"/>
      <w:marTop w:val="0"/>
      <w:marBottom w:val="0"/>
      <w:divBdr>
        <w:top w:val="none" w:sz="0" w:space="0" w:color="auto"/>
        <w:left w:val="none" w:sz="0" w:space="0" w:color="auto"/>
        <w:bottom w:val="none" w:sz="0" w:space="0" w:color="auto"/>
        <w:right w:val="none" w:sz="0" w:space="0" w:color="auto"/>
      </w:divBdr>
    </w:div>
    <w:div w:id="1557625449">
      <w:bodyDiv w:val="1"/>
      <w:marLeft w:val="0"/>
      <w:marRight w:val="0"/>
      <w:marTop w:val="0"/>
      <w:marBottom w:val="0"/>
      <w:divBdr>
        <w:top w:val="none" w:sz="0" w:space="0" w:color="auto"/>
        <w:left w:val="none" w:sz="0" w:space="0" w:color="auto"/>
        <w:bottom w:val="none" w:sz="0" w:space="0" w:color="auto"/>
        <w:right w:val="none" w:sz="0" w:space="0" w:color="auto"/>
      </w:divBdr>
    </w:div>
    <w:div w:id="1699625748">
      <w:bodyDiv w:val="1"/>
      <w:marLeft w:val="0"/>
      <w:marRight w:val="0"/>
      <w:marTop w:val="0"/>
      <w:marBottom w:val="0"/>
      <w:divBdr>
        <w:top w:val="none" w:sz="0" w:space="0" w:color="auto"/>
        <w:left w:val="none" w:sz="0" w:space="0" w:color="auto"/>
        <w:bottom w:val="none" w:sz="0" w:space="0" w:color="auto"/>
        <w:right w:val="none" w:sz="0" w:space="0" w:color="auto"/>
      </w:divBdr>
    </w:div>
    <w:div w:id="178476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3653B-6A8B-47F1-98C1-3FE004C0C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7C879-CA8D-48A2-A3E6-22DC33FB3718}">
  <ds:schemaRefs>
    <ds:schemaRef ds:uri="http://schemas.microsoft.com/sharepoint/v3/contenttype/forms"/>
  </ds:schemaRefs>
</ds:datastoreItem>
</file>

<file path=customXml/itemProps3.xml><?xml version="1.0" encoding="utf-8"?>
<ds:datastoreItem xmlns:ds="http://schemas.openxmlformats.org/officeDocument/2006/customXml" ds:itemID="{5F3B1E7F-B32A-4F62-8FAC-41B4396323A2}">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4.xml><?xml version="1.0" encoding="utf-8"?>
<ds:datastoreItem xmlns:ds="http://schemas.openxmlformats.org/officeDocument/2006/customXml" ds:itemID="{8315AD73-E6ED-41EF-919E-292875985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8</Pages>
  <Words>2680</Words>
  <Characters>15277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Mountford, Julia</dc:creator>
  <cp:lastModifiedBy>Ringwood, Claire</cp:lastModifiedBy>
  <cp:revision>247</cp:revision>
  <cp:lastPrinted>2013-10-28T11:22:00Z</cp:lastPrinted>
  <dcterms:created xsi:type="dcterms:W3CDTF">2023-01-10T14:48:00Z</dcterms:created>
  <dcterms:modified xsi:type="dcterms:W3CDTF">2023-02-22T20:28:00Z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2018-11-19T11:47:02Z</vt:filetime>
  </property>
  <property fmtid="{D5CDD505-2E9C-101B-9397-08002B2CF9AE}" pid="7" name="ContentTypeId">
    <vt:lpwstr>0x010100CD1484CED4637942831D6ED81BBCB403</vt:lpwstr>
  </property>
  <property fmtid="{D5CDD505-2E9C-101B-9397-08002B2CF9AE}" pid="8" name="Order">
    <vt:r8>19360000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