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A60" w:rsidRDefault="002A1535" w:rsidP="00660A60">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660A60" w:rsidRDefault="00660A60" w:rsidP="00660A60">
      <w:pPr>
        <w:pStyle w:val="BodyText"/>
        <w:tabs>
          <w:tab w:val="left" w:pos="2552"/>
        </w:tabs>
        <w:ind w:left="2552" w:hanging="2552"/>
        <w:jc w:val="both"/>
        <w:rPr>
          <w:rFonts w:ascii="Trebuchet MS" w:hAnsi="Trebuchet MS"/>
          <w:sz w:val="22"/>
          <w:szCs w:val="22"/>
        </w:rPr>
      </w:pPr>
    </w:p>
    <w:p w:rsidR="00660A60" w:rsidRPr="00FF3B1B" w:rsidRDefault="00660A60" w:rsidP="00660A60">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660A60" w:rsidRPr="00FF3B1B" w:rsidRDefault="00660A60" w:rsidP="00660A60">
      <w:pPr>
        <w:pStyle w:val="BodyText"/>
        <w:tabs>
          <w:tab w:val="left" w:pos="2552"/>
        </w:tabs>
        <w:ind w:left="3272" w:hanging="2552"/>
        <w:jc w:val="both"/>
        <w:rPr>
          <w:rFonts w:ascii="Trebuchet MS" w:hAnsi="Trebuchet MS"/>
          <w:sz w:val="22"/>
          <w:szCs w:val="22"/>
        </w:rPr>
      </w:pPr>
    </w:p>
    <w:p w:rsidR="00660A60" w:rsidRPr="00FF3B1B" w:rsidRDefault="00660A60" w:rsidP="00660A60">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Emmer Green</w:t>
      </w:r>
    </w:p>
    <w:p w:rsidR="00660A60" w:rsidRPr="00FF3B1B" w:rsidRDefault="00660A60" w:rsidP="00660A60">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221829</w:t>
      </w:r>
      <w:r w:rsidRPr="00FF3B1B">
        <w:rPr>
          <w:rFonts w:ascii="Trebuchet MS" w:hAnsi="Trebuchet MS"/>
          <w:b w:val="0"/>
          <w:sz w:val="22"/>
          <w:szCs w:val="22"/>
        </w:rPr>
        <w:t>/</w:t>
      </w:r>
      <w:r w:rsidRPr="00FF3B1B">
        <w:rPr>
          <w:rFonts w:ascii="Trebuchet MS" w:hAnsi="Trebuchet MS"/>
          <w:sz w:val="22"/>
          <w:szCs w:val="22"/>
        </w:rPr>
        <w:t>HOU</w:t>
      </w:r>
    </w:p>
    <w:p w:rsidR="00660A60" w:rsidRPr="00FF3B1B" w:rsidRDefault="00660A60" w:rsidP="00660A60">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75 Kiln Road, Emmer Green, Reading, RG4 8UF</w:t>
      </w:r>
    </w:p>
    <w:p w:rsidR="00660A60" w:rsidRPr="00FF3B1B" w:rsidRDefault="00660A60" w:rsidP="00660A60">
      <w:pPr>
        <w:ind w:left="720"/>
        <w:rPr>
          <w:sz w:val="22"/>
          <w:szCs w:val="22"/>
        </w:rPr>
      </w:pPr>
      <w:r w:rsidRPr="00FF3B1B">
        <w:rPr>
          <w:b/>
          <w:sz w:val="22"/>
          <w:szCs w:val="22"/>
        </w:rPr>
        <w:t>Proposals</w:t>
      </w:r>
      <w:r w:rsidRPr="00FF3B1B">
        <w:rPr>
          <w:sz w:val="22"/>
          <w:szCs w:val="22"/>
        </w:rPr>
        <w:t xml:space="preserve">: </w:t>
      </w:r>
      <w:r>
        <w:rPr>
          <w:rFonts w:cs="Trebuchet MS"/>
          <w:sz w:val="22"/>
          <w:szCs w:val="22"/>
        </w:rPr>
        <w:t>Proposed Single Storey Rear Extension and Internal Alterations (As Amended)</w:t>
      </w:r>
    </w:p>
    <w:p w:rsidR="00660A60" w:rsidRPr="00FF3B1B" w:rsidRDefault="00660A60" w:rsidP="00660A60">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660A60" w:rsidRPr="00FF3B1B" w:rsidRDefault="00660A60" w:rsidP="00660A60">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Mrs White</w:t>
      </w:r>
    </w:p>
    <w:p w:rsidR="00660A60" w:rsidRDefault="00660A60" w:rsidP="00660A60">
      <w:pPr>
        <w:pStyle w:val="BodyText"/>
        <w:ind w:left="720"/>
        <w:jc w:val="both"/>
        <w:rPr>
          <w:rFonts w:ascii="Trebuchet MS" w:hAnsi="Trebuchet MS"/>
          <w:sz w:val="22"/>
          <w:szCs w:val="22"/>
        </w:rPr>
      </w:pPr>
      <w:r w:rsidRPr="00FF3B1B">
        <w:rPr>
          <w:rFonts w:ascii="Trebuchet MS" w:hAnsi="Trebuchet MS"/>
          <w:sz w:val="22"/>
          <w:szCs w:val="22"/>
        </w:rPr>
        <w:t>Date received (valid from): 6 December 2022</w:t>
      </w:r>
      <w:r>
        <w:rPr>
          <w:rFonts w:ascii="Trebuchet MS" w:hAnsi="Trebuchet MS"/>
          <w:sz w:val="22"/>
          <w:szCs w:val="22"/>
        </w:rPr>
        <w:t xml:space="preserve">      </w:t>
      </w:r>
    </w:p>
    <w:p w:rsidR="00660A60" w:rsidRPr="00FF3B1B" w:rsidRDefault="00660A60" w:rsidP="00660A60">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Pr>
          <w:rFonts w:ascii="Trebuchet MS" w:hAnsi="Trebuchet MS" w:cs="Trebuchet MS"/>
          <w:noProof/>
          <w:sz w:val="22"/>
          <w:szCs w:val="22"/>
        </w:rPr>
        <w:t>21 April 2023 (EXT)</w:t>
      </w:r>
      <w:r w:rsidRPr="00FF3B1B">
        <w:rPr>
          <w:rFonts w:ascii="Trebuchet MS" w:hAnsi="Trebuchet MS"/>
          <w:sz w:val="22"/>
          <w:szCs w:val="22"/>
        </w:rPr>
        <w:tab/>
      </w:r>
    </w:p>
    <w:p w:rsidR="00660A60" w:rsidRPr="00FF3B1B" w:rsidRDefault="00660A60" w:rsidP="00660A60">
      <w:pPr>
        <w:pStyle w:val="BodyText"/>
        <w:tabs>
          <w:tab w:val="left" w:pos="2552"/>
        </w:tabs>
        <w:ind w:left="2552" w:hanging="2552"/>
        <w:jc w:val="both"/>
        <w:rPr>
          <w:rFonts w:ascii="Trebuchet MS" w:hAnsi="Trebuchet MS"/>
          <w:b w:val="0"/>
          <w:sz w:val="22"/>
          <w:szCs w:val="22"/>
        </w:rPr>
      </w:pPr>
    </w:p>
    <w:p w:rsidR="00660A60" w:rsidRPr="00FF3B1B" w:rsidRDefault="00660A60" w:rsidP="00660A60">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660A60" w:rsidRPr="00FF3B1B" w:rsidRDefault="00660A60" w:rsidP="00660A60">
      <w:pPr>
        <w:ind w:left="720"/>
        <w:jc w:val="both"/>
        <w:rPr>
          <w:sz w:val="22"/>
          <w:szCs w:val="22"/>
        </w:rPr>
      </w:pPr>
      <w:r>
        <w:rPr>
          <w:sz w:val="22"/>
          <w:szCs w:val="22"/>
        </w:rPr>
        <w:t>The proposal site is a detached two storey dwelling on the western side of Kiln Road, close to the intersection with Marchwood Avenue. It is one of three buildings of similar style and size, with the other two having had different levels of previous extensions. All buildings on the street are lined up on the one side of the street. The opposite side is not built up.</w:t>
      </w:r>
    </w:p>
    <w:p w:rsidR="00660A60" w:rsidRPr="00FF3B1B" w:rsidRDefault="00660A60" w:rsidP="00660A60">
      <w:pPr>
        <w:jc w:val="both"/>
        <w:rPr>
          <w:b/>
          <w:bCs/>
          <w:sz w:val="22"/>
          <w:szCs w:val="22"/>
        </w:rPr>
      </w:pPr>
    </w:p>
    <w:p w:rsidR="00660A60" w:rsidRPr="00FF3B1B" w:rsidRDefault="00660A60" w:rsidP="00660A60">
      <w:pPr>
        <w:jc w:val="both"/>
        <w:rPr>
          <w:b/>
          <w:bCs/>
          <w:sz w:val="22"/>
          <w:szCs w:val="22"/>
        </w:rPr>
      </w:pPr>
      <w:r w:rsidRPr="00FF3B1B">
        <w:rPr>
          <w:b/>
          <w:bCs/>
          <w:sz w:val="22"/>
          <w:szCs w:val="22"/>
        </w:rPr>
        <w:t>2.</w:t>
      </w:r>
      <w:r w:rsidRPr="00FF3B1B">
        <w:rPr>
          <w:b/>
          <w:bCs/>
          <w:sz w:val="22"/>
          <w:szCs w:val="22"/>
        </w:rPr>
        <w:tab/>
        <w:t>PROPOSAL AND SUPPORTING INFORMATION</w:t>
      </w:r>
    </w:p>
    <w:p w:rsidR="00660A60" w:rsidRPr="00E158C9" w:rsidRDefault="00660A60" w:rsidP="00660A60">
      <w:pPr>
        <w:ind w:left="720"/>
        <w:rPr>
          <w:sz w:val="22"/>
          <w:szCs w:val="22"/>
        </w:rPr>
      </w:pPr>
      <w:r w:rsidRPr="00E158C9">
        <w:rPr>
          <w:sz w:val="22"/>
          <w:szCs w:val="22"/>
        </w:rPr>
        <w:t xml:space="preserve">The proposal presents a </w:t>
      </w:r>
      <w:r>
        <w:rPr>
          <w:sz w:val="22"/>
          <w:szCs w:val="22"/>
        </w:rPr>
        <w:t>single storey r</w:t>
      </w:r>
      <w:r w:rsidRPr="00E158C9">
        <w:rPr>
          <w:sz w:val="22"/>
          <w:szCs w:val="22"/>
        </w:rPr>
        <w:t xml:space="preserve">ear </w:t>
      </w:r>
      <w:r>
        <w:rPr>
          <w:sz w:val="22"/>
          <w:szCs w:val="22"/>
        </w:rPr>
        <w:t>extension measuring approximately 5</w:t>
      </w:r>
      <w:r w:rsidR="00F8645C">
        <w:rPr>
          <w:sz w:val="22"/>
          <w:szCs w:val="22"/>
        </w:rPr>
        <w:t>.07</w:t>
      </w:r>
      <w:r>
        <w:rPr>
          <w:sz w:val="22"/>
          <w:szCs w:val="22"/>
        </w:rPr>
        <w:t xml:space="preserve">m into the rear garden and 3.6m wide, to create an office linked to the existing dwelling </w:t>
      </w:r>
      <w:r w:rsidRPr="00E158C9">
        <w:rPr>
          <w:sz w:val="22"/>
          <w:szCs w:val="22"/>
        </w:rPr>
        <w:t>and Internal Alterations</w:t>
      </w:r>
      <w:r>
        <w:rPr>
          <w:sz w:val="22"/>
          <w:szCs w:val="22"/>
        </w:rPr>
        <w:t>.</w:t>
      </w:r>
      <w:r w:rsidRPr="00E158C9">
        <w:rPr>
          <w:sz w:val="22"/>
          <w:szCs w:val="22"/>
        </w:rPr>
        <w:t xml:space="preserve"> </w:t>
      </w:r>
      <w:bookmarkStart w:id="0" w:name="_GoBack"/>
      <w:bookmarkEnd w:id="0"/>
    </w:p>
    <w:p w:rsidR="00660A60" w:rsidRPr="00FF3B1B" w:rsidRDefault="00660A60" w:rsidP="00660A60">
      <w:pPr>
        <w:pStyle w:val="BodyText"/>
        <w:ind w:left="720" w:hanging="720"/>
        <w:jc w:val="both"/>
        <w:rPr>
          <w:rFonts w:ascii="Trebuchet MS" w:hAnsi="Trebuchet MS"/>
          <w:b w:val="0"/>
          <w:sz w:val="22"/>
          <w:szCs w:val="22"/>
        </w:rPr>
      </w:pPr>
    </w:p>
    <w:p w:rsidR="00660A60" w:rsidRDefault="00660A60" w:rsidP="00660A60">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Pr>
          <w:rFonts w:ascii="Trebuchet MS" w:hAnsi="Trebuchet MS"/>
          <w:b w:val="0"/>
          <w:bCs/>
          <w:sz w:val="22"/>
          <w:szCs w:val="22"/>
        </w:rPr>
        <w:t xml:space="preserve"> dated July 2022</w:t>
      </w:r>
      <w:r w:rsidR="007B0EEC" w:rsidRPr="007B0EEC">
        <w:rPr>
          <w:rFonts w:ascii="Trebuchet MS" w:hAnsi="Trebuchet MS" w:cs="Arial"/>
          <w:szCs w:val="24"/>
        </w:rPr>
        <w:t xml:space="preserve"> </w:t>
      </w:r>
    </w:p>
    <w:p w:rsidR="00660A60" w:rsidRPr="00FF3B1B" w:rsidRDefault="00660A60" w:rsidP="00660A60">
      <w:pPr>
        <w:pStyle w:val="BodyText"/>
        <w:ind w:left="720"/>
        <w:jc w:val="both"/>
        <w:rPr>
          <w:rFonts w:ascii="Trebuchet MS" w:hAnsi="Trebuchet MS"/>
          <w:b w:val="0"/>
          <w:sz w:val="22"/>
          <w:szCs w:val="22"/>
        </w:rPr>
      </w:pPr>
      <w:r>
        <w:rPr>
          <w:rFonts w:ascii="Trebuchet MS" w:hAnsi="Trebuchet MS"/>
          <w:b w:val="0"/>
          <w:sz w:val="22"/>
          <w:szCs w:val="22"/>
        </w:rPr>
        <w:t>22060.SPP-01: Existing Ground Floor Plan</w:t>
      </w:r>
      <w:r w:rsidR="007B0EEC" w:rsidRPr="007B0EEC">
        <w:rPr>
          <w:rFonts w:ascii="Trebuchet MS" w:hAnsi="Trebuchet MS" w:cs="Arial"/>
          <w:b w:val="0"/>
          <w:sz w:val="22"/>
          <w:szCs w:val="22"/>
        </w:rPr>
        <w:t xml:space="preserve"> received 7/11/2022</w:t>
      </w:r>
    </w:p>
    <w:p w:rsidR="00660A60" w:rsidRDefault="00660A60" w:rsidP="00660A60">
      <w:pPr>
        <w:pStyle w:val="BodyText"/>
        <w:ind w:left="720"/>
        <w:jc w:val="both"/>
        <w:rPr>
          <w:rFonts w:ascii="Trebuchet MS" w:hAnsi="Trebuchet MS"/>
          <w:b w:val="0"/>
          <w:sz w:val="22"/>
          <w:szCs w:val="22"/>
        </w:rPr>
      </w:pPr>
      <w:r>
        <w:rPr>
          <w:rFonts w:ascii="Trebuchet MS" w:hAnsi="Trebuchet MS"/>
          <w:b w:val="0"/>
          <w:sz w:val="22"/>
          <w:szCs w:val="22"/>
        </w:rPr>
        <w:t>22060.SPP-02: Existing First Floor Plan</w:t>
      </w:r>
      <w:r w:rsidR="007B0EEC" w:rsidRPr="007B0EEC">
        <w:rPr>
          <w:rFonts w:ascii="Trebuchet MS" w:hAnsi="Trebuchet MS" w:cs="Arial"/>
          <w:b w:val="0"/>
          <w:sz w:val="22"/>
          <w:szCs w:val="22"/>
        </w:rPr>
        <w:t xml:space="preserve"> received 7/11/2022</w:t>
      </w:r>
    </w:p>
    <w:p w:rsidR="00660A60" w:rsidRDefault="00660A60" w:rsidP="00660A60">
      <w:pPr>
        <w:pStyle w:val="BodyText"/>
        <w:ind w:left="720"/>
        <w:jc w:val="both"/>
        <w:rPr>
          <w:rFonts w:ascii="Trebuchet MS" w:hAnsi="Trebuchet MS"/>
          <w:b w:val="0"/>
          <w:sz w:val="22"/>
          <w:szCs w:val="22"/>
        </w:rPr>
      </w:pPr>
      <w:r>
        <w:rPr>
          <w:rFonts w:ascii="Trebuchet MS" w:hAnsi="Trebuchet MS"/>
          <w:b w:val="0"/>
          <w:sz w:val="22"/>
          <w:szCs w:val="22"/>
        </w:rPr>
        <w:t>22060.SPP-03: Existing Elevations</w:t>
      </w:r>
      <w:r w:rsidR="007B0EEC" w:rsidRPr="007B0EEC">
        <w:rPr>
          <w:rFonts w:ascii="Trebuchet MS" w:hAnsi="Trebuchet MS" w:cs="Arial"/>
          <w:b w:val="0"/>
          <w:sz w:val="22"/>
          <w:szCs w:val="22"/>
        </w:rPr>
        <w:t xml:space="preserve"> received 7/11/2022</w:t>
      </w:r>
    </w:p>
    <w:p w:rsidR="00660A60" w:rsidRDefault="00660A60" w:rsidP="00660A60">
      <w:pPr>
        <w:pStyle w:val="BodyText"/>
        <w:ind w:left="720"/>
        <w:jc w:val="both"/>
        <w:rPr>
          <w:rFonts w:ascii="Trebuchet MS" w:hAnsi="Trebuchet MS"/>
          <w:b w:val="0"/>
          <w:sz w:val="22"/>
          <w:szCs w:val="22"/>
        </w:rPr>
      </w:pPr>
      <w:r>
        <w:rPr>
          <w:rFonts w:ascii="Trebuchet MS" w:hAnsi="Trebuchet MS"/>
          <w:b w:val="0"/>
          <w:sz w:val="22"/>
          <w:szCs w:val="22"/>
        </w:rPr>
        <w:t>22060.SPP-04 Rev A: Proposed Ground Floor Plan</w:t>
      </w:r>
      <w:r w:rsidR="007B0EEC" w:rsidRPr="007B0EEC">
        <w:rPr>
          <w:rFonts w:ascii="Trebuchet MS" w:hAnsi="Trebuchet MS" w:cs="Arial"/>
          <w:szCs w:val="24"/>
        </w:rPr>
        <w:t xml:space="preserve"> </w:t>
      </w:r>
      <w:r w:rsidR="007B0EEC" w:rsidRPr="007B0EEC">
        <w:rPr>
          <w:rFonts w:ascii="Trebuchet MS" w:hAnsi="Trebuchet MS" w:cs="Arial"/>
          <w:b w:val="0"/>
          <w:sz w:val="22"/>
          <w:szCs w:val="22"/>
        </w:rPr>
        <w:t>received 20/03/2023</w:t>
      </w:r>
    </w:p>
    <w:p w:rsidR="00660A60" w:rsidRDefault="00660A60" w:rsidP="00660A60">
      <w:pPr>
        <w:pStyle w:val="BodyText"/>
        <w:ind w:left="720"/>
        <w:jc w:val="both"/>
        <w:rPr>
          <w:rFonts w:ascii="Trebuchet MS" w:hAnsi="Trebuchet MS"/>
          <w:b w:val="0"/>
          <w:sz w:val="22"/>
          <w:szCs w:val="22"/>
        </w:rPr>
      </w:pPr>
      <w:r>
        <w:rPr>
          <w:rFonts w:ascii="Trebuchet MS" w:hAnsi="Trebuchet MS"/>
          <w:b w:val="0"/>
          <w:sz w:val="22"/>
          <w:szCs w:val="22"/>
        </w:rPr>
        <w:t>22060.SPP-05 Rev A: Proposed First Floor Plan</w:t>
      </w:r>
      <w:r w:rsidR="007B0EEC" w:rsidRPr="007B0EEC">
        <w:rPr>
          <w:rFonts w:ascii="Trebuchet MS" w:hAnsi="Trebuchet MS" w:cs="Arial"/>
          <w:b w:val="0"/>
          <w:sz w:val="22"/>
          <w:szCs w:val="22"/>
        </w:rPr>
        <w:t xml:space="preserve"> received 20/03/2023</w:t>
      </w:r>
    </w:p>
    <w:p w:rsidR="00660A60" w:rsidRPr="00FF3B1B" w:rsidRDefault="00660A60" w:rsidP="00660A60">
      <w:pPr>
        <w:pStyle w:val="BodyText"/>
        <w:ind w:left="720"/>
        <w:jc w:val="both"/>
        <w:rPr>
          <w:rFonts w:ascii="Trebuchet MS" w:hAnsi="Trebuchet MS"/>
          <w:b w:val="0"/>
          <w:sz w:val="22"/>
          <w:szCs w:val="22"/>
        </w:rPr>
      </w:pPr>
      <w:r>
        <w:rPr>
          <w:rFonts w:ascii="Trebuchet MS" w:hAnsi="Trebuchet MS"/>
          <w:b w:val="0"/>
          <w:sz w:val="22"/>
          <w:szCs w:val="22"/>
        </w:rPr>
        <w:t>22060.SPP-06 Rev A: Proposed Elevations</w:t>
      </w:r>
      <w:r w:rsidR="007B0EEC" w:rsidRPr="007B0EEC">
        <w:rPr>
          <w:rFonts w:ascii="Trebuchet MS" w:hAnsi="Trebuchet MS" w:cs="Arial"/>
          <w:b w:val="0"/>
          <w:sz w:val="22"/>
          <w:szCs w:val="22"/>
        </w:rPr>
        <w:t xml:space="preserve"> received 20/03/2023</w:t>
      </w:r>
    </w:p>
    <w:p w:rsidR="00660A60" w:rsidRDefault="00660A60" w:rsidP="00660A60">
      <w:pPr>
        <w:pStyle w:val="BodyText"/>
        <w:ind w:left="720"/>
        <w:jc w:val="both"/>
        <w:rPr>
          <w:rFonts w:ascii="Trebuchet MS" w:hAnsi="Trebuchet MS"/>
          <w:b w:val="0"/>
          <w:sz w:val="22"/>
          <w:szCs w:val="22"/>
        </w:rPr>
      </w:pPr>
      <w:r>
        <w:rPr>
          <w:rFonts w:ascii="Trebuchet MS" w:hAnsi="Trebuchet MS"/>
          <w:b w:val="0"/>
          <w:sz w:val="22"/>
          <w:szCs w:val="22"/>
        </w:rPr>
        <w:t>22060.SPP-07: Location Plan</w:t>
      </w:r>
      <w:r w:rsidR="007B0EEC" w:rsidRPr="007B0EEC">
        <w:rPr>
          <w:rFonts w:ascii="Trebuchet MS" w:hAnsi="Trebuchet MS" w:cs="Arial"/>
          <w:b w:val="0"/>
          <w:sz w:val="22"/>
          <w:szCs w:val="22"/>
        </w:rPr>
        <w:t xml:space="preserve"> received 7/11/2022</w:t>
      </w:r>
    </w:p>
    <w:p w:rsidR="00660A60" w:rsidRDefault="00660A60" w:rsidP="00660A60">
      <w:pPr>
        <w:pStyle w:val="BodyText"/>
        <w:ind w:left="720"/>
        <w:jc w:val="both"/>
        <w:rPr>
          <w:rFonts w:ascii="Trebuchet MS" w:hAnsi="Trebuchet MS"/>
          <w:b w:val="0"/>
          <w:sz w:val="22"/>
          <w:szCs w:val="22"/>
        </w:rPr>
      </w:pPr>
      <w:r>
        <w:rPr>
          <w:rFonts w:ascii="Trebuchet MS" w:hAnsi="Trebuchet MS"/>
          <w:b w:val="0"/>
          <w:sz w:val="22"/>
          <w:szCs w:val="22"/>
        </w:rPr>
        <w:t>22060.SPP-08 Rev A: Block Plan</w:t>
      </w:r>
      <w:r w:rsidR="003F71C9" w:rsidRPr="003F71C9">
        <w:rPr>
          <w:rFonts w:ascii="Trebuchet MS" w:hAnsi="Trebuchet MS" w:cs="Arial"/>
          <w:b w:val="0"/>
          <w:sz w:val="22"/>
          <w:szCs w:val="22"/>
        </w:rPr>
        <w:t xml:space="preserve"> </w:t>
      </w:r>
      <w:r w:rsidR="003F71C9" w:rsidRPr="007B0EEC">
        <w:rPr>
          <w:rFonts w:ascii="Trebuchet MS" w:hAnsi="Trebuchet MS" w:cs="Arial"/>
          <w:b w:val="0"/>
          <w:sz w:val="22"/>
          <w:szCs w:val="22"/>
        </w:rPr>
        <w:t>received 20/03/2023</w:t>
      </w:r>
    </w:p>
    <w:p w:rsidR="00660A60" w:rsidRDefault="00660A60" w:rsidP="00660A60">
      <w:pPr>
        <w:pStyle w:val="BodyText"/>
        <w:ind w:left="720"/>
        <w:jc w:val="both"/>
        <w:rPr>
          <w:rFonts w:ascii="Trebuchet MS" w:hAnsi="Trebuchet MS"/>
          <w:b w:val="0"/>
          <w:sz w:val="22"/>
          <w:szCs w:val="22"/>
        </w:rPr>
      </w:pPr>
    </w:p>
    <w:p w:rsidR="00660A60" w:rsidRPr="00FF3B1B" w:rsidRDefault="002A1535" w:rsidP="00660A60">
      <w:pPr>
        <w:pStyle w:val="BodyText"/>
        <w:ind w:left="720"/>
        <w:jc w:val="both"/>
        <w:rPr>
          <w:rFonts w:ascii="Trebuchet MS" w:hAnsi="Trebuchet MS"/>
          <w:b w:val="0"/>
          <w:sz w:val="22"/>
          <w:szCs w:val="22"/>
        </w:rPr>
      </w:pPr>
      <w:r w:rsidRPr="00C07C3D">
        <w:rPr>
          <w:rFonts w:ascii="Trebuchet MS" w:hAnsi="Trebuchet MS"/>
          <w:b w:val="0"/>
          <w:noProof/>
          <w:sz w:val="22"/>
          <w:szCs w:val="22"/>
          <w:lang w:eastAsia="en-GB"/>
        </w:rPr>
        <w:drawing>
          <wp:inline distT="0" distB="0" distL="0" distR="0">
            <wp:extent cx="2596515" cy="2026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6515" cy="2026920"/>
                    </a:xfrm>
                    <a:prstGeom prst="rect">
                      <a:avLst/>
                    </a:prstGeom>
                    <a:noFill/>
                    <a:ln>
                      <a:noFill/>
                    </a:ln>
                  </pic:spPr>
                </pic:pic>
              </a:graphicData>
            </a:graphic>
          </wp:inline>
        </w:drawing>
      </w:r>
      <w:r w:rsidR="00660A60">
        <w:rPr>
          <w:rFonts w:ascii="Trebuchet MS" w:hAnsi="Trebuchet MS"/>
          <w:b w:val="0"/>
          <w:sz w:val="22"/>
          <w:szCs w:val="22"/>
        </w:rPr>
        <w:t xml:space="preserve">    </w:t>
      </w:r>
      <w:r w:rsidRPr="00472BC9">
        <w:rPr>
          <w:noProof/>
          <w:lang w:eastAsia="en-GB"/>
        </w:rPr>
        <w:drawing>
          <wp:inline distT="0" distB="0" distL="0" distR="0">
            <wp:extent cx="2691130" cy="209613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1130" cy="2096135"/>
                    </a:xfrm>
                    <a:prstGeom prst="rect">
                      <a:avLst/>
                    </a:prstGeom>
                    <a:noFill/>
                    <a:ln>
                      <a:noFill/>
                    </a:ln>
                  </pic:spPr>
                </pic:pic>
              </a:graphicData>
            </a:graphic>
          </wp:inline>
        </w:drawing>
      </w:r>
    </w:p>
    <w:p w:rsidR="00660A60" w:rsidRDefault="00660A60" w:rsidP="00660A60">
      <w:pPr>
        <w:pStyle w:val="BodyText"/>
        <w:jc w:val="both"/>
        <w:rPr>
          <w:rFonts w:ascii="Trebuchet MS" w:hAnsi="Trebuchet MS"/>
          <w:b w:val="0"/>
          <w:sz w:val="22"/>
          <w:szCs w:val="22"/>
          <w:u w:val="single"/>
        </w:rPr>
      </w:pPr>
      <w:r>
        <w:rPr>
          <w:rFonts w:ascii="Trebuchet MS" w:hAnsi="Trebuchet MS"/>
          <w:b w:val="0"/>
          <w:sz w:val="22"/>
          <w:szCs w:val="22"/>
        </w:rPr>
        <w:t xml:space="preserve">                          </w:t>
      </w:r>
      <w:r w:rsidRPr="00C07C3D">
        <w:rPr>
          <w:rFonts w:ascii="Trebuchet MS" w:hAnsi="Trebuchet MS"/>
          <w:b w:val="0"/>
          <w:sz w:val="22"/>
          <w:szCs w:val="22"/>
          <w:u w:val="single"/>
        </w:rPr>
        <w:t>Proposed Ground Floor Plan                 Existing Ground Floor Plan</w:t>
      </w:r>
    </w:p>
    <w:p w:rsidR="00660A60" w:rsidRPr="00C07C3D" w:rsidRDefault="00660A60" w:rsidP="00660A60">
      <w:pPr>
        <w:pStyle w:val="BodyText"/>
        <w:jc w:val="both"/>
        <w:rPr>
          <w:rFonts w:ascii="Trebuchet MS" w:hAnsi="Trebuchet MS"/>
          <w:b w:val="0"/>
          <w:sz w:val="22"/>
          <w:szCs w:val="22"/>
          <w:u w:val="single"/>
        </w:rPr>
      </w:pPr>
    </w:p>
    <w:p w:rsidR="00660A60" w:rsidRDefault="00660A60" w:rsidP="00660A60">
      <w:pPr>
        <w:numPr>
          <w:ilvl w:val="0"/>
          <w:numId w:val="24"/>
        </w:numPr>
        <w:ind w:hanging="720"/>
        <w:jc w:val="both"/>
        <w:rPr>
          <w:b/>
          <w:bCs/>
          <w:sz w:val="22"/>
          <w:szCs w:val="22"/>
        </w:rPr>
      </w:pPr>
      <w:r w:rsidRPr="00FF3B1B">
        <w:rPr>
          <w:b/>
          <w:bCs/>
          <w:sz w:val="22"/>
          <w:szCs w:val="22"/>
        </w:rPr>
        <w:t xml:space="preserve">RELEVANT PLANNING HISTORY </w:t>
      </w:r>
    </w:p>
    <w:p w:rsidR="00660A60" w:rsidRPr="00C07C3D" w:rsidRDefault="00660A60" w:rsidP="00660A60">
      <w:pPr>
        <w:ind w:left="720"/>
        <w:jc w:val="both"/>
        <w:rPr>
          <w:bCs/>
          <w:sz w:val="22"/>
          <w:szCs w:val="22"/>
        </w:rPr>
      </w:pPr>
      <w:r w:rsidRPr="00C07C3D">
        <w:rPr>
          <w:bCs/>
          <w:sz w:val="22"/>
          <w:szCs w:val="22"/>
        </w:rPr>
        <w:t>None</w:t>
      </w:r>
    </w:p>
    <w:p w:rsidR="00660A60" w:rsidRPr="00FF3B1B" w:rsidRDefault="00660A60" w:rsidP="00660A60">
      <w:pPr>
        <w:jc w:val="both"/>
        <w:rPr>
          <w:b/>
          <w:bCs/>
          <w:sz w:val="22"/>
          <w:szCs w:val="22"/>
        </w:rPr>
      </w:pPr>
    </w:p>
    <w:p w:rsidR="00660A60" w:rsidRPr="00FF3B1B" w:rsidRDefault="00660A60" w:rsidP="00660A60">
      <w:pPr>
        <w:jc w:val="both"/>
        <w:rPr>
          <w:b/>
          <w:bCs/>
          <w:sz w:val="22"/>
          <w:szCs w:val="22"/>
        </w:rPr>
      </w:pPr>
    </w:p>
    <w:p w:rsidR="00660A60" w:rsidRPr="00FF3B1B" w:rsidRDefault="00660A60" w:rsidP="00660A60">
      <w:pPr>
        <w:jc w:val="both"/>
        <w:rPr>
          <w:b/>
          <w:bCs/>
          <w:sz w:val="22"/>
          <w:szCs w:val="22"/>
        </w:rPr>
      </w:pPr>
      <w:r w:rsidRPr="00FF3B1B">
        <w:rPr>
          <w:b/>
          <w:bCs/>
          <w:sz w:val="22"/>
          <w:szCs w:val="22"/>
        </w:rPr>
        <w:t>4.</w:t>
      </w:r>
      <w:r w:rsidRPr="00FF3B1B">
        <w:rPr>
          <w:b/>
          <w:bCs/>
          <w:sz w:val="22"/>
          <w:szCs w:val="22"/>
        </w:rPr>
        <w:tab/>
        <w:t>CONSULTATIONS</w:t>
      </w:r>
    </w:p>
    <w:p w:rsidR="00660A60" w:rsidRPr="00FF3B1B" w:rsidRDefault="00660A60" w:rsidP="00660A60">
      <w:pPr>
        <w:jc w:val="both"/>
        <w:rPr>
          <w:b/>
          <w:bCs/>
          <w:sz w:val="22"/>
          <w:szCs w:val="22"/>
        </w:rPr>
      </w:pPr>
    </w:p>
    <w:p w:rsidR="00660A60" w:rsidRDefault="00660A60" w:rsidP="00660A60">
      <w:pPr>
        <w:ind w:left="720"/>
        <w:jc w:val="both"/>
        <w:rPr>
          <w:sz w:val="22"/>
          <w:szCs w:val="22"/>
        </w:rPr>
      </w:pPr>
      <w:r w:rsidRPr="00FF3B1B">
        <w:rPr>
          <w:sz w:val="22"/>
          <w:szCs w:val="22"/>
        </w:rPr>
        <w:t>The following addresses were consulted by letter.</w:t>
      </w:r>
    </w:p>
    <w:p w:rsidR="00660A60" w:rsidRDefault="00660A60" w:rsidP="00660A60">
      <w:pPr>
        <w:ind w:left="720"/>
        <w:jc w:val="both"/>
        <w:rPr>
          <w:sz w:val="22"/>
          <w:szCs w:val="22"/>
        </w:rPr>
      </w:pPr>
    </w:p>
    <w:p w:rsidR="00660A60" w:rsidRDefault="00660A60" w:rsidP="00660A60">
      <w:pPr>
        <w:ind w:left="720"/>
        <w:jc w:val="both"/>
        <w:rPr>
          <w:sz w:val="22"/>
          <w:szCs w:val="22"/>
        </w:rPr>
      </w:pPr>
      <w:r>
        <w:rPr>
          <w:sz w:val="22"/>
          <w:szCs w:val="22"/>
        </w:rPr>
        <w:lastRenderedPageBreak/>
        <w:t>73 Kiln Road, Emmer Green</w:t>
      </w:r>
    </w:p>
    <w:p w:rsidR="00660A60" w:rsidRDefault="00660A60" w:rsidP="00660A60">
      <w:pPr>
        <w:ind w:left="720"/>
        <w:jc w:val="both"/>
        <w:rPr>
          <w:sz w:val="22"/>
          <w:szCs w:val="22"/>
        </w:rPr>
      </w:pPr>
      <w:r>
        <w:rPr>
          <w:sz w:val="22"/>
          <w:szCs w:val="22"/>
        </w:rPr>
        <w:t xml:space="preserve">77 Kiln Road, Emmer Green </w:t>
      </w:r>
    </w:p>
    <w:p w:rsidR="00660A60" w:rsidRDefault="00660A60" w:rsidP="00660A60">
      <w:pPr>
        <w:ind w:left="720"/>
        <w:jc w:val="both"/>
        <w:rPr>
          <w:sz w:val="22"/>
          <w:szCs w:val="22"/>
        </w:rPr>
      </w:pPr>
      <w:r>
        <w:rPr>
          <w:sz w:val="22"/>
          <w:szCs w:val="22"/>
        </w:rPr>
        <w:t xml:space="preserve">4 Marchwood Avenue, Emmer Green </w:t>
      </w:r>
    </w:p>
    <w:p w:rsidR="00660A60" w:rsidRPr="00FF3B1B" w:rsidRDefault="00660A60" w:rsidP="00660A60">
      <w:pPr>
        <w:ind w:left="720"/>
        <w:jc w:val="both"/>
        <w:rPr>
          <w:sz w:val="22"/>
          <w:szCs w:val="22"/>
        </w:rPr>
      </w:pPr>
      <w:r>
        <w:rPr>
          <w:sz w:val="22"/>
          <w:szCs w:val="22"/>
        </w:rPr>
        <w:t xml:space="preserve"> </w:t>
      </w:r>
    </w:p>
    <w:p w:rsidR="00660A60" w:rsidRDefault="00660A60" w:rsidP="00660A60">
      <w:pPr>
        <w:ind w:left="1440" w:hanging="720"/>
        <w:jc w:val="both"/>
        <w:rPr>
          <w:sz w:val="22"/>
          <w:szCs w:val="22"/>
        </w:rPr>
      </w:pPr>
      <w:r>
        <w:rPr>
          <w:sz w:val="22"/>
          <w:szCs w:val="22"/>
        </w:rPr>
        <w:t>No l</w:t>
      </w:r>
      <w:r w:rsidRPr="00FF3B1B">
        <w:rPr>
          <w:sz w:val="22"/>
          <w:szCs w:val="22"/>
        </w:rPr>
        <w:t>etters of representatio</w:t>
      </w:r>
      <w:r>
        <w:rPr>
          <w:sz w:val="22"/>
          <w:szCs w:val="22"/>
        </w:rPr>
        <w:t>n have been received.</w:t>
      </w:r>
    </w:p>
    <w:p w:rsidR="00660A60" w:rsidRDefault="00660A60" w:rsidP="00660A60">
      <w:pPr>
        <w:ind w:left="1440" w:hanging="720"/>
        <w:jc w:val="both"/>
        <w:rPr>
          <w:sz w:val="22"/>
          <w:szCs w:val="22"/>
        </w:rPr>
      </w:pPr>
    </w:p>
    <w:p w:rsidR="00660A60" w:rsidRPr="00F727FC" w:rsidRDefault="00660A60" w:rsidP="004161B6">
      <w:pPr>
        <w:ind w:left="1440" w:hanging="720"/>
        <w:jc w:val="both"/>
        <w:rPr>
          <w:sz w:val="22"/>
          <w:szCs w:val="22"/>
          <w:u w:val="single"/>
        </w:rPr>
      </w:pPr>
      <w:r w:rsidRPr="00F727FC">
        <w:rPr>
          <w:sz w:val="22"/>
          <w:szCs w:val="22"/>
          <w:u w:val="single"/>
        </w:rPr>
        <w:t>Transport Comments.</w:t>
      </w:r>
    </w:p>
    <w:p w:rsidR="00660A60" w:rsidRPr="00F727FC" w:rsidRDefault="00660A60" w:rsidP="004161B6">
      <w:pPr>
        <w:widowControl w:val="0"/>
        <w:overflowPunct/>
        <w:adjustRightInd/>
        <w:ind w:left="720"/>
        <w:jc w:val="both"/>
        <w:textAlignment w:val="auto"/>
        <w:rPr>
          <w:rFonts w:cs="Trebuchet MS"/>
          <w:i/>
          <w:sz w:val="22"/>
          <w:szCs w:val="22"/>
        </w:rPr>
      </w:pPr>
      <w:r w:rsidRPr="00F727FC">
        <w:rPr>
          <w:rFonts w:cs="Trebuchet MS"/>
          <w:i/>
          <w:sz w:val="22"/>
          <w:szCs w:val="22"/>
        </w:rPr>
        <w:t>There are no Transport objections to this application as the proposed works do not change the existing parking arrangements, the single garage is to remain served by the existing dropped cross over.  In addition to the garage there is additional parking available on the front drive.</w:t>
      </w:r>
    </w:p>
    <w:p w:rsidR="00660A60" w:rsidRPr="00F727FC" w:rsidRDefault="00660A60" w:rsidP="004161B6">
      <w:pPr>
        <w:ind w:left="1440" w:hanging="720"/>
        <w:jc w:val="both"/>
        <w:rPr>
          <w:i/>
          <w:sz w:val="22"/>
          <w:szCs w:val="22"/>
        </w:rPr>
      </w:pPr>
    </w:p>
    <w:p w:rsidR="00660A60" w:rsidRPr="00F727FC" w:rsidRDefault="00660A60" w:rsidP="004161B6">
      <w:pPr>
        <w:ind w:left="720"/>
        <w:jc w:val="both"/>
        <w:rPr>
          <w:sz w:val="22"/>
          <w:szCs w:val="22"/>
          <w:u w:val="single"/>
        </w:rPr>
      </w:pPr>
      <w:r w:rsidRPr="00F727FC">
        <w:rPr>
          <w:sz w:val="22"/>
          <w:szCs w:val="22"/>
          <w:u w:val="single"/>
        </w:rPr>
        <w:t>Natural Environment Comments.</w:t>
      </w:r>
    </w:p>
    <w:p w:rsidR="00660A60" w:rsidRPr="00F727FC" w:rsidRDefault="00660A60" w:rsidP="004161B6">
      <w:pPr>
        <w:pStyle w:val="BodyText"/>
        <w:ind w:left="720"/>
        <w:jc w:val="both"/>
        <w:rPr>
          <w:rFonts w:ascii="Trebuchet MS" w:hAnsi="Trebuchet MS"/>
          <w:b w:val="0"/>
          <w:i/>
          <w:noProof/>
          <w:sz w:val="22"/>
          <w:szCs w:val="22"/>
        </w:rPr>
      </w:pPr>
      <w:r w:rsidRPr="00F727FC">
        <w:rPr>
          <w:rFonts w:ascii="Trebuchet MS" w:hAnsi="Trebuchet MS"/>
          <w:b w:val="0"/>
          <w:i/>
          <w:noProof/>
          <w:sz w:val="22"/>
          <w:szCs w:val="22"/>
        </w:rPr>
        <w:t>The primary concerns are the proposed extensions on the frontage which will inevitably be in the RPA of one, if not both, trees.  Given the age of the tree(s), it is more important to avoid impingements into RPAs.  No Arboricultural Report (tree survey and AIA) has been provided (as the agent hasn’t acknowledged the tree) as is required, hence the development fails to demonstrate lack of harm to a protected tree of high amenity and historical value.  It is therefore not acceptable in this respect.</w:t>
      </w:r>
    </w:p>
    <w:p w:rsidR="00660A60" w:rsidRPr="00F727FC" w:rsidRDefault="00660A60" w:rsidP="00660A60">
      <w:pPr>
        <w:ind w:left="720"/>
        <w:jc w:val="both"/>
        <w:rPr>
          <w:sz w:val="22"/>
          <w:szCs w:val="22"/>
        </w:rPr>
      </w:pPr>
    </w:p>
    <w:p w:rsidR="00660A60" w:rsidRPr="00F727FC" w:rsidRDefault="00660A60" w:rsidP="00660A60">
      <w:pPr>
        <w:overflowPunct/>
        <w:adjustRightInd/>
        <w:ind w:left="720"/>
        <w:jc w:val="both"/>
        <w:textAlignment w:val="auto"/>
        <w:rPr>
          <w:rFonts w:cs="Arial"/>
          <w:b/>
          <w:bCs/>
          <w:color w:val="000000"/>
          <w:sz w:val="22"/>
          <w:szCs w:val="22"/>
          <w:lang w:eastAsia="en-GB"/>
        </w:rPr>
      </w:pPr>
      <w:r w:rsidRPr="00F727FC">
        <w:rPr>
          <w:rFonts w:cs="Arial"/>
          <w:b/>
          <w:bCs/>
          <w:color w:val="000000"/>
          <w:sz w:val="22"/>
          <w:szCs w:val="22"/>
          <w:lang w:eastAsia="en-GB"/>
        </w:rPr>
        <w:t>Equality Act 2010:</w:t>
      </w:r>
    </w:p>
    <w:p w:rsidR="00660A60" w:rsidRPr="00F727FC" w:rsidRDefault="00660A60" w:rsidP="00660A60">
      <w:pPr>
        <w:overflowPunct/>
        <w:adjustRightInd/>
        <w:ind w:left="720"/>
        <w:jc w:val="both"/>
        <w:textAlignment w:val="auto"/>
        <w:rPr>
          <w:rFonts w:cs="Arial"/>
          <w:bCs/>
          <w:color w:val="000000"/>
          <w:sz w:val="22"/>
          <w:szCs w:val="22"/>
          <w:lang w:eastAsia="en-GB"/>
        </w:rPr>
      </w:pPr>
      <w:r w:rsidRPr="00F727FC">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60A60" w:rsidRPr="00FF3B1B" w:rsidRDefault="00660A60" w:rsidP="00660A60">
      <w:pPr>
        <w:ind w:left="720" w:hanging="720"/>
        <w:jc w:val="both"/>
        <w:rPr>
          <w:sz w:val="22"/>
          <w:szCs w:val="22"/>
        </w:rPr>
      </w:pPr>
    </w:p>
    <w:p w:rsidR="00660A60" w:rsidRPr="00FF3B1B" w:rsidRDefault="00660A60" w:rsidP="00660A60">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660A60" w:rsidRPr="00FF3B1B" w:rsidRDefault="00660A60" w:rsidP="00660A60">
      <w:pPr>
        <w:ind w:left="720"/>
        <w:jc w:val="both"/>
        <w:rPr>
          <w:bCs/>
          <w:sz w:val="22"/>
          <w:szCs w:val="22"/>
          <w:lang w:eastAsia="en-GB"/>
        </w:rPr>
      </w:pPr>
    </w:p>
    <w:p w:rsidR="00660A60" w:rsidRPr="00FF3B1B" w:rsidRDefault="00660A60" w:rsidP="00660A60">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660A60" w:rsidRPr="00FF3B1B" w:rsidRDefault="00660A60" w:rsidP="00660A60">
      <w:pPr>
        <w:ind w:left="720"/>
        <w:jc w:val="both"/>
        <w:rPr>
          <w:b/>
          <w:bCs/>
          <w:sz w:val="22"/>
          <w:szCs w:val="22"/>
          <w:lang w:eastAsia="en-GB"/>
        </w:rPr>
      </w:pPr>
    </w:p>
    <w:p w:rsidR="00660A60" w:rsidRPr="00FF3B1B" w:rsidRDefault="00660A60" w:rsidP="00660A60">
      <w:pPr>
        <w:ind w:left="720"/>
        <w:jc w:val="both"/>
        <w:rPr>
          <w:b/>
          <w:bCs/>
          <w:sz w:val="22"/>
          <w:szCs w:val="22"/>
          <w:u w:val="single"/>
          <w:lang w:eastAsia="en-GB"/>
        </w:rPr>
      </w:pPr>
      <w:r w:rsidRPr="00FF3B1B">
        <w:rPr>
          <w:b/>
          <w:bCs/>
          <w:sz w:val="22"/>
          <w:szCs w:val="22"/>
          <w:u w:val="single"/>
          <w:lang w:eastAsia="en-GB"/>
        </w:rPr>
        <w:t>National Policy</w:t>
      </w:r>
    </w:p>
    <w:p w:rsidR="00660A60" w:rsidRPr="00FF3B1B" w:rsidRDefault="00660A60" w:rsidP="00660A60">
      <w:pPr>
        <w:ind w:left="720"/>
        <w:jc w:val="both"/>
        <w:rPr>
          <w:bCs/>
          <w:sz w:val="22"/>
          <w:szCs w:val="22"/>
          <w:lang w:eastAsia="en-GB"/>
        </w:rPr>
      </w:pPr>
      <w:r w:rsidRPr="00FF3B1B">
        <w:rPr>
          <w:bCs/>
          <w:sz w:val="22"/>
          <w:szCs w:val="22"/>
          <w:lang w:eastAsia="en-GB"/>
        </w:rPr>
        <w:t xml:space="preserve">National Planning Policy Framework </w:t>
      </w:r>
    </w:p>
    <w:p w:rsidR="00660A60" w:rsidRPr="00FF3B1B" w:rsidRDefault="00660A60" w:rsidP="00660A60">
      <w:pPr>
        <w:ind w:left="720"/>
        <w:jc w:val="both"/>
        <w:rPr>
          <w:bCs/>
          <w:sz w:val="22"/>
          <w:szCs w:val="22"/>
          <w:lang w:eastAsia="en-GB"/>
        </w:rPr>
      </w:pPr>
      <w:r w:rsidRPr="00FF3B1B">
        <w:rPr>
          <w:bCs/>
          <w:sz w:val="22"/>
          <w:szCs w:val="22"/>
          <w:lang w:eastAsia="en-GB"/>
        </w:rPr>
        <w:t>National Planning Practice Guidance</w:t>
      </w:r>
    </w:p>
    <w:p w:rsidR="00660A60" w:rsidRDefault="00660A60" w:rsidP="00660A60">
      <w:pPr>
        <w:ind w:left="720"/>
        <w:jc w:val="both"/>
        <w:rPr>
          <w:bCs/>
          <w:sz w:val="22"/>
          <w:szCs w:val="22"/>
          <w:lang w:eastAsia="en-GB"/>
        </w:rPr>
      </w:pPr>
    </w:p>
    <w:p w:rsidR="00660A60" w:rsidRPr="00FF3B1B" w:rsidRDefault="00660A60" w:rsidP="00660A60">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660A60" w:rsidRPr="00917B3D" w:rsidRDefault="00660A60" w:rsidP="00660A60">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660A60" w:rsidRPr="00917B3D" w:rsidRDefault="00660A60" w:rsidP="00660A60">
      <w:pPr>
        <w:ind w:left="720"/>
        <w:jc w:val="both"/>
        <w:rPr>
          <w:bCs/>
          <w:sz w:val="22"/>
          <w:szCs w:val="22"/>
        </w:rPr>
      </w:pPr>
      <w:r>
        <w:rPr>
          <w:bCs/>
          <w:sz w:val="22"/>
          <w:szCs w:val="22"/>
        </w:rPr>
        <w:t>CC8</w:t>
      </w:r>
      <w:r w:rsidRPr="00917B3D">
        <w:rPr>
          <w:bCs/>
          <w:sz w:val="22"/>
          <w:szCs w:val="22"/>
        </w:rPr>
        <w:t xml:space="preserve"> (Safeguarding Amenity) </w:t>
      </w:r>
    </w:p>
    <w:p w:rsidR="00660A60" w:rsidRPr="00917B3D" w:rsidRDefault="00660A60" w:rsidP="00660A60">
      <w:pPr>
        <w:ind w:left="720"/>
        <w:jc w:val="both"/>
        <w:rPr>
          <w:bCs/>
          <w:sz w:val="22"/>
          <w:szCs w:val="22"/>
        </w:rPr>
      </w:pPr>
      <w:r>
        <w:rPr>
          <w:bCs/>
          <w:sz w:val="22"/>
          <w:szCs w:val="22"/>
        </w:rPr>
        <w:t>H9</w:t>
      </w:r>
      <w:r w:rsidRPr="00917B3D">
        <w:rPr>
          <w:bCs/>
          <w:sz w:val="22"/>
          <w:szCs w:val="22"/>
        </w:rPr>
        <w:t xml:space="preserve"> (House Extensions and Ancillary Accommodation)</w:t>
      </w:r>
    </w:p>
    <w:p w:rsidR="00660A60" w:rsidRPr="00F727FC" w:rsidRDefault="00660A60" w:rsidP="00660A60">
      <w:pPr>
        <w:ind w:left="720"/>
        <w:jc w:val="both"/>
        <w:rPr>
          <w:sz w:val="22"/>
          <w:szCs w:val="22"/>
          <w:lang w:eastAsia="en-GB"/>
        </w:rPr>
      </w:pPr>
      <w:r w:rsidRPr="00F727FC">
        <w:rPr>
          <w:sz w:val="22"/>
          <w:szCs w:val="22"/>
          <w:lang w:eastAsia="en-GB"/>
        </w:rPr>
        <w:t>TR5 (Car and Cycle Parking)</w:t>
      </w:r>
    </w:p>
    <w:p w:rsidR="00660A60" w:rsidRPr="00FA05A6" w:rsidRDefault="00660A60" w:rsidP="00660A60">
      <w:pPr>
        <w:ind w:left="720"/>
        <w:jc w:val="both"/>
        <w:rPr>
          <w:bCs/>
          <w:sz w:val="22"/>
          <w:szCs w:val="22"/>
          <w:lang w:eastAsia="en-GB"/>
        </w:rPr>
      </w:pPr>
      <w:r w:rsidRPr="00F727FC">
        <w:rPr>
          <w:bCs/>
          <w:sz w:val="22"/>
          <w:szCs w:val="22"/>
          <w:lang w:eastAsia="en-GB"/>
        </w:rPr>
        <w:t>EN14 (Trees, Hedges and Woodlands)</w:t>
      </w:r>
    </w:p>
    <w:p w:rsidR="00660A60" w:rsidRPr="00FF3B1B" w:rsidRDefault="00660A60" w:rsidP="00660A60">
      <w:pPr>
        <w:ind w:left="720"/>
        <w:jc w:val="both"/>
        <w:rPr>
          <w:bCs/>
          <w:sz w:val="22"/>
          <w:szCs w:val="22"/>
          <w:lang w:eastAsia="en-GB"/>
        </w:rPr>
      </w:pPr>
    </w:p>
    <w:p w:rsidR="00660A60" w:rsidRPr="00FF3B1B" w:rsidRDefault="00660A60" w:rsidP="00660A60">
      <w:pPr>
        <w:ind w:left="720"/>
        <w:jc w:val="both"/>
        <w:rPr>
          <w:b/>
          <w:bCs/>
          <w:sz w:val="22"/>
          <w:szCs w:val="22"/>
          <w:u w:val="single"/>
          <w:lang w:eastAsia="en-GB"/>
        </w:rPr>
      </w:pPr>
      <w:r w:rsidRPr="00FF3B1B">
        <w:rPr>
          <w:b/>
          <w:bCs/>
          <w:sz w:val="22"/>
          <w:szCs w:val="22"/>
          <w:u w:val="single"/>
          <w:lang w:eastAsia="en-GB"/>
        </w:rPr>
        <w:lastRenderedPageBreak/>
        <w:t>SPD</w:t>
      </w:r>
    </w:p>
    <w:p w:rsidR="00660A60" w:rsidRDefault="00660A60" w:rsidP="00660A60">
      <w:pPr>
        <w:overflowPunct/>
        <w:autoSpaceDE/>
        <w:autoSpaceDN/>
        <w:adjustRightInd/>
        <w:ind w:left="720"/>
        <w:textAlignment w:val="auto"/>
        <w:rPr>
          <w:sz w:val="22"/>
          <w:szCs w:val="22"/>
        </w:rPr>
      </w:pPr>
      <w:r w:rsidRPr="00FF3B1B">
        <w:rPr>
          <w:sz w:val="22"/>
          <w:szCs w:val="22"/>
        </w:rPr>
        <w:t>Desi</w:t>
      </w:r>
      <w:r w:rsidR="004161B6">
        <w:rPr>
          <w:sz w:val="22"/>
          <w:szCs w:val="22"/>
        </w:rPr>
        <w:t>gn Guide to House Extensions 2021</w:t>
      </w:r>
    </w:p>
    <w:p w:rsidR="00660A60" w:rsidRPr="00FA05A6" w:rsidRDefault="00660A60" w:rsidP="00660A60">
      <w:pPr>
        <w:overflowPunct/>
        <w:autoSpaceDE/>
        <w:autoSpaceDN/>
        <w:adjustRightInd/>
        <w:ind w:left="720"/>
        <w:textAlignment w:val="auto"/>
        <w:rPr>
          <w:sz w:val="22"/>
          <w:szCs w:val="22"/>
        </w:rPr>
      </w:pPr>
      <w:r w:rsidRPr="00F727FC">
        <w:rPr>
          <w:sz w:val="22"/>
          <w:szCs w:val="22"/>
        </w:rPr>
        <w:t>Revised Parking Standards and Design SPD 2011</w:t>
      </w:r>
    </w:p>
    <w:p w:rsidR="00660A60" w:rsidRPr="00FF3B1B" w:rsidRDefault="00660A60" w:rsidP="00660A60">
      <w:pPr>
        <w:jc w:val="both"/>
        <w:rPr>
          <w:b/>
          <w:bCs/>
          <w:sz w:val="22"/>
          <w:szCs w:val="22"/>
        </w:rPr>
      </w:pPr>
    </w:p>
    <w:p w:rsidR="00660A60" w:rsidRPr="00FF3B1B" w:rsidRDefault="00660A60" w:rsidP="00660A60">
      <w:pPr>
        <w:jc w:val="both"/>
        <w:rPr>
          <w:b/>
          <w:bCs/>
          <w:sz w:val="22"/>
          <w:szCs w:val="22"/>
        </w:rPr>
      </w:pPr>
      <w:r w:rsidRPr="00FF3B1B">
        <w:rPr>
          <w:b/>
          <w:bCs/>
          <w:sz w:val="22"/>
          <w:szCs w:val="22"/>
        </w:rPr>
        <w:t>6.</w:t>
      </w:r>
      <w:r w:rsidRPr="00FF3B1B">
        <w:rPr>
          <w:b/>
          <w:bCs/>
          <w:sz w:val="22"/>
          <w:szCs w:val="22"/>
        </w:rPr>
        <w:tab/>
        <w:t>APPRAISAL</w:t>
      </w:r>
    </w:p>
    <w:p w:rsidR="00660A60" w:rsidRPr="006D3285" w:rsidRDefault="00660A60" w:rsidP="00660A60">
      <w:pPr>
        <w:ind w:left="720"/>
        <w:rPr>
          <w:b/>
          <w:bCs/>
          <w:sz w:val="22"/>
          <w:szCs w:val="22"/>
          <w:u w:val="single"/>
          <w:lang w:eastAsia="en-GB"/>
        </w:rPr>
      </w:pPr>
      <w:r w:rsidRPr="006D3285">
        <w:rPr>
          <w:b/>
          <w:bCs/>
          <w:sz w:val="22"/>
          <w:szCs w:val="22"/>
          <w:u w:val="single"/>
          <w:lang w:eastAsia="en-GB"/>
        </w:rPr>
        <w:t>Character and Appearance</w:t>
      </w:r>
    </w:p>
    <w:p w:rsidR="00660A60" w:rsidRPr="00FA05A6" w:rsidRDefault="00660A60" w:rsidP="00660A60">
      <w:pPr>
        <w:ind w:left="720"/>
        <w:rPr>
          <w:sz w:val="22"/>
          <w:szCs w:val="22"/>
          <w:lang w:eastAsia="en-GB"/>
        </w:rPr>
      </w:pPr>
    </w:p>
    <w:p w:rsidR="00660A60" w:rsidRDefault="00660A60" w:rsidP="004161B6">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660A60" w:rsidRDefault="00660A60" w:rsidP="004161B6">
      <w:pPr>
        <w:overflowPunct/>
        <w:adjustRightInd/>
        <w:ind w:left="720"/>
        <w:contextualSpacing/>
        <w:jc w:val="both"/>
        <w:textAlignment w:val="auto"/>
        <w:rPr>
          <w:sz w:val="22"/>
          <w:szCs w:val="22"/>
          <w:lang w:eastAsia="en-GB"/>
        </w:rPr>
      </w:pPr>
    </w:p>
    <w:p w:rsidR="00660A60" w:rsidRDefault="00660A60" w:rsidP="004161B6">
      <w:pPr>
        <w:overflowPunct/>
        <w:adjustRightInd/>
        <w:ind w:left="720"/>
        <w:contextualSpacing/>
        <w:jc w:val="both"/>
        <w:textAlignment w:val="auto"/>
        <w:rPr>
          <w:sz w:val="22"/>
          <w:szCs w:val="22"/>
          <w:lang w:eastAsia="en-GB"/>
        </w:rPr>
      </w:pPr>
      <w:r>
        <w:rPr>
          <w:sz w:val="22"/>
          <w:szCs w:val="22"/>
          <w:lang w:eastAsia="en-GB"/>
        </w:rPr>
        <w:t xml:space="preserve">The proposal seeks to convert the existing garage into a habitable room while extending approximately 5m to the rear to create an office. This extension is </w:t>
      </w:r>
      <w:r w:rsidR="00F8645C">
        <w:rPr>
          <w:sz w:val="22"/>
          <w:szCs w:val="22"/>
          <w:lang w:eastAsia="en-GB"/>
        </w:rPr>
        <w:t>2.75m high</w:t>
      </w:r>
      <w:r>
        <w:rPr>
          <w:sz w:val="22"/>
          <w:szCs w:val="22"/>
          <w:lang w:eastAsia="en-GB"/>
        </w:rPr>
        <w:t>, with a flat roof over. All aspects of the amended application are to the rear and internal, and the materials to be used for all external finishes are to match existing materials. As a result of the amendment, the front building line is maintained.</w:t>
      </w:r>
    </w:p>
    <w:p w:rsidR="00660A60" w:rsidRDefault="00660A60" w:rsidP="004161B6">
      <w:pPr>
        <w:overflowPunct/>
        <w:adjustRightInd/>
        <w:ind w:left="720"/>
        <w:contextualSpacing/>
        <w:jc w:val="both"/>
        <w:textAlignment w:val="auto"/>
        <w:rPr>
          <w:sz w:val="22"/>
          <w:szCs w:val="22"/>
          <w:lang w:eastAsia="en-GB"/>
        </w:rPr>
      </w:pPr>
    </w:p>
    <w:p w:rsidR="00660A60" w:rsidRPr="00324F3C" w:rsidRDefault="00660A60" w:rsidP="004161B6">
      <w:pPr>
        <w:overflowPunct/>
        <w:adjustRightInd/>
        <w:ind w:left="720"/>
        <w:contextualSpacing/>
        <w:jc w:val="both"/>
        <w:textAlignment w:val="auto"/>
        <w:rPr>
          <w:sz w:val="22"/>
          <w:szCs w:val="22"/>
          <w:lang w:eastAsia="en-GB"/>
        </w:rPr>
      </w:pPr>
      <w:r>
        <w:rPr>
          <w:sz w:val="22"/>
          <w:szCs w:val="22"/>
          <w:lang w:eastAsia="en-GB"/>
        </w:rPr>
        <w:t>It is considered that while the extension to the rear is 5</w:t>
      </w:r>
      <w:r w:rsidR="00F8645C">
        <w:rPr>
          <w:sz w:val="22"/>
          <w:szCs w:val="22"/>
          <w:lang w:eastAsia="en-GB"/>
        </w:rPr>
        <w:t>.07</w:t>
      </w:r>
      <w:r>
        <w:rPr>
          <w:sz w:val="22"/>
          <w:szCs w:val="22"/>
          <w:lang w:eastAsia="en-GB"/>
        </w:rPr>
        <w:t>m, the overall impact to the adjoining property at No73 is limited as a result of the flat roof over the extension and the limited height. Also, as no aspect of the proposed extension is visible from the street, there is no resultant detrimental impact on the character and appearance of the dwelling as well as the street scene.</w:t>
      </w:r>
    </w:p>
    <w:p w:rsidR="00660A60" w:rsidRPr="00FA05A6" w:rsidRDefault="00660A60" w:rsidP="00660A60">
      <w:pPr>
        <w:overflowPunct/>
        <w:adjustRightInd/>
        <w:contextualSpacing/>
        <w:textAlignment w:val="auto"/>
        <w:rPr>
          <w:sz w:val="22"/>
          <w:szCs w:val="22"/>
          <w:u w:val="single"/>
          <w:lang w:eastAsia="en-GB"/>
        </w:rPr>
      </w:pPr>
    </w:p>
    <w:p w:rsidR="00660A60" w:rsidRPr="00FA05A6" w:rsidRDefault="00660A60" w:rsidP="00660A60">
      <w:pPr>
        <w:ind w:left="720"/>
        <w:rPr>
          <w:b/>
          <w:bCs/>
          <w:sz w:val="22"/>
          <w:szCs w:val="22"/>
          <w:u w:val="single"/>
          <w:lang w:eastAsia="en-GB"/>
        </w:rPr>
      </w:pPr>
      <w:r w:rsidRPr="006D3285">
        <w:rPr>
          <w:b/>
          <w:bCs/>
          <w:sz w:val="22"/>
          <w:szCs w:val="22"/>
          <w:u w:val="single"/>
          <w:lang w:eastAsia="en-GB"/>
        </w:rPr>
        <w:t>Residential Amenity</w:t>
      </w:r>
    </w:p>
    <w:p w:rsidR="00660A60" w:rsidRPr="00FA05A6" w:rsidRDefault="00660A60" w:rsidP="00660A60">
      <w:pPr>
        <w:ind w:left="720"/>
        <w:rPr>
          <w:b/>
          <w:bCs/>
          <w:sz w:val="22"/>
          <w:szCs w:val="22"/>
          <w:u w:val="single"/>
          <w:lang w:eastAsia="en-GB"/>
        </w:rPr>
      </w:pPr>
    </w:p>
    <w:p w:rsidR="00660A60" w:rsidRDefault="00660A60" w:rsidP="00660A60">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660A60" w:rsidRDefault="00660A60" w:rsidP="00660A60">
      <w:pPr>
        <w:overflowPunct/>
        <w:adjustRightInd/>
        <w:ind w:left="720"/>
        <w:jc w:val="both"/>
        <w:textAlignment w:val="auto"/>
        <w:rPr>
          <w:color w:val="000000"/>
          <w:sz w:val="22"/>
          <w:szCs w:val="22"/>
          <w:lang w:eastAsia="en-GB"/>
        </w:rPr>
      </w:pPr>
    </w:p>
    <w:p w:rsidR="00660A60" w:rsidRDefault="00660A60" w:rsidP="00660A60">
      <w:pPr>
        <w:overflowPunct/>
        <w:adjustRightInd/>
        <w:ind w:left="720"/>
        <w:jc w:val="both"/>
        <w:textAlignment w:val="auto"/>
        <w:rPr>
          <w:color w:val="000000"/>
          <w:sz w:val="22"/>
          <w:szCs w:val="22"/>
          <w:lang w:eastAsia="en-GB"/>
        </w:rPr>
      </w:pPr>
      <w:r>
        <w:rPr>
          <w:color w:val="000000"/>
          <w:sz w:val="22"/>
          <w:szCs w:val="22"/>
          <w:lang w:eastAsia="en-GB"/>
        </w:rPr>
        <w:t>As stated above in this report, the height of t</w:t>
      </w:r>
      <w:r w:rsidR="00F8645C">
        <w:rPr>
          <w:color w:val="000000"/>
          <w:sz w:val="22"/>
          <w:szCs w:val="22"/>
          <w:lang w:eastAsia="en-GB"/>
        </w:rPr>
        <w:t>he rear extension is limited to 2.75</w:t>
      </w:r>
      <w:r>
        <w:rPr>
          <w:color w:val="000000"/>
          <w:sz w:val="22"/>
          <w:szCs w:val="22"/>
          <w:lang w:eastAsia="en-GB"/>
        </w:rPr>
        <w:t>m. There are no side windows proposed and the roof over the extension would be a flat one. There are therefore no significant overbearing effects considered to occur as a result of this proposal and no privacy/overlooking issues.</w:t>
      </w:r>
    </w:p>
    <w:p w:rsidR="00660A60" w:rsidRDefault="00660A60" w:rsidP="00660A60">
      <w:pPr>
        <w:overflowPunct/>
        <w:adjustRightInd/>
        <w:ind w:left="720"/>
        <w:jc w:val="both"/>
        <w:textAlignment w:val="auto"/>
        <w:rPr>
          <w:color w:val="000000"/>
          <w:sz w:val="22"/>
          <w:szCs w:val="22"/>
          <w:lang w:eastAsia="en-GB"/>
        </w:rPr>
      </w:pPr>
    </w:p>
    <w:p w:rsidR="00660A60" w:rsidRPr="006D3285" w:rsidRDefault="00660A60" w:rsidP="00660A60">
      <w:pPr>
        <w:overflowPunct/>
        <w:adjustRightInd/>
        <w:ind w:left="720"/>
        <w:jc w:val="both"/>
        <w:textAlignment w:val="auto"/>
        <w:rPr>
          <w:color w:val="000000"/>
          <w:sz w:val="22"/>
          <w:szCs w:val="22"/>
          <w:lang w:eastAsia="en-GB"/>
        </w:rPr>
      </w:pPr>
      <w:r>
        <w:rPr>
          <w:color w:val="000000"/>
          <w:sz w:val="22"/>
          <w:szCs w:val="22"/>
          <w:lang w:eastAsia="en-GB"/>
        </w:rPr>
        <w:t>The extension does not cast any shadows or undermine sunlight and daylight access to any identified habitable room. As the proposal presents an external door, a condition will be attached to the decision for this proposal, to ensure that the newly created space cannot be used independently.</w:t>
      </w:r>
    </w:p>
    <w:p w:rsidR="00660A60" w:rsidRPr="006D3285" w:rsidRDefault="00660A60" w:rsidP="00660A60">
      <w:pPr>
        <w:overflowPunct/>
        <w:adjustRightInd/>
        <w:jc w:val="both"/>
        <w:textAlignment w:val="auto"/>
        <w:rPr>
          <w:color w:val="000000"/>
          <w:sz w:val="22"/>
          <w:szCs w:val="22"/>
          <w:lang w:eastAsia="en-GB"/>
        </w:rPr>
      </w:pPr>
    </w:p>
    <w:p w:rsidR="00660A60" w:rsidRDefault="00660A60" w:rsidP="00660A60">
      <w:pPr>
        <w:overflowPunct/>
        <w:autoSpaceDE/>
        <w:autoSpaceDN/>
        <w:adjustRightInd/>
        <w:contextualSpacing/>
        <w:jc w:val="both"/>
        <w:textAlignment w:val="auto"/>
        <w:rPr>
          <w:i/>
          <w:iCs/>
          <w:color w:val="000000"/>
          <w:sz w:val="22"/>
          <w:szCs w:val="22"/>
          <w:highlight w:val="yellow"/>
          <w:lang w:eastAsia="en-GB"/>
        </w:rPr>
      </w:pPr>
    </w:p>
    <w:p w:rsidR="00660A60" w:rsidRPr="00660A60" w:rsidRDefault="00660A60" w:rsidP="00660A60">
      <w:pPr>
        <w:overflowPunct/>
        <w:autoSpaceDE/>
        <w:autoSpaceDN/>
        <w:adjustRightInd/>
        <w:ind w:left="720"/>
        <w:contextualSpacing/>
        <w:jc w:val="both"/>
        <w:textAlignment w:val="auto"/>
        <w:rPr>
          <w:b/>
          <w:bCs/>
          <w:color w:val="000000"/>
          <w:sz w:val="22"/>
          <w:szCs w:val="22"/>
          <w:u w:val="single"/>
          <w:lang w:eastAsia="en-GB"/>
        </w:rPr>
      </w:pPr>
      <w:r w:rsidRPr="00660A60">
        <w:rPr>
          <w:b/>
          <w:bCs/>
          <w:color w:val="000000"/>
          <w:sz w:val="22"/>
          <w:szCs w:val="22"/>
          <w:u w:val="single"/>
          <w:lang w:eastAsia="en-GB"/>
        </w:rPr>
        <w:t>Trees</w:t>
      </w:r>
    </w:p>
    <w:p w:rsidR="00660A60" w:rsidRPr="00660A60" w:rsidRDefault="00660A60" w:rsidP="00660A60">
      <w:pPr>
        <w:overflowPunct/>
        <w:autoSpaceDE/>
        <w:autoSpaceDN/>
        <w:adjustRightInd/>
        <w:contextualSpacing/>
        <w:jc w:val="both"/>
        <w:textAlignment w:val="auto"/>
        <w:rPr>
          <w:i/>
          <w:iCs/>
          <w:color w:val="000000"/>
          <w:sz w:val="22"/>
          <w:szCs w:val="22"/>
          <w:lang w:eastAsia="en-GB"/>
        </w:rPr>
      </w:pPr>
    </w:p>
    <w:p w:rsidR="00660A60" w:rsidRDefault="00660A60" w:rsidP="00660A60">
      <w:pPr>
        <w:overflowPunct/>
        <w:autoSpaceDE/>
        <w:autoSpaceDN/>
        <w:adjustRightInd/>
        <w:ind w:left="720"/>
        <w:contextualSpacing/>
        <w:jc w:val="both"/>
        <w:textAlignment w:val="auto"/>
        <w:rPr>
          <w:color w:val="000000"/>
          <w:sz w:val="22"/>
          <w:szCs w:val="22"/>
          <w:lang w:eastAsia="en-GB"/>
        </w:rPr>
      </w:pPr>
      <w:r w:rsidRPr="00660A60">
        <w:rPr>
          <w:color w:val="000000"/>
          <w:sz w:val="22"/>
          <w:szCs w:val="22"/>
          <w:lang w:eastAsia="en-GB"/>
        </w:rPr>
        <w:t>Policies CC7 and EN14 of the Reading Borough Local Plan 2019</w:t>
      </w:r>
    </w:p>
    <w:p w:rsidR="00660A60" w:rsidRDefault="00660A60" w:rsidP="00660A60">
      <w:pPr>
        <w:overflowPunct/>
        <w:autoSpaceDE/>
        <w:autoSpaceDN/>
        <w:adjustRightInd/>
        <w:ind w:left="720"/>
        <w:contextualSpacing/>
        <w:jc w:val="both"/>
        <w:textAlignment w:val="auto"/>
        <w:rPr>
          <w:color w:val="000000"/>
          <w:sz w:val="22"/>
          <w:szCs w:val="22"/>
          <w:lang w:eastAsia="en-GB"/>
        </w:rPr>
      </w:pPr>
    </w:p>
    <w:p w:rsidR="00660A60" w:rsidRPr="00660A60" w:rsidRDefault="00660A60" w:rsidP="00660A60">
      <w:pPr>
        <w:overflowPunct/>
        <w:autoSpaceDE/>
        <w:autoSpaceDN/>
        <w:adjustRightInd/>
        <w:ind w:left="720"/>
        <w:contextualSpacing/>
        <w:jc w:val="both"/>
        <w:textAlignment w:val="auto"/>
        <w:rPr>
          <w:color w:val="000000"/>
          <w:sz w:val="22"/>
          <w:szCs w:val="22"/>
          <w:lang w:eastAsia="en-GB"/>
        </w:rPr>
      </w:pPr>
      <w:r>
        <w:rPr>
          <w:color w:val="000000"/>
          <w:sz w:val="22"/>
          <w:szCs w:val="22"/>
          <w:lang w:eastAsia="en-GB"/>
        </w:rPr>
        <w:t>As is reported above, Natural Environment requested extra information regarding a TPO in front of the property. However, this advice has become redundant as the front extension aspect was subsequently removed by the agent/applicant.</w:t>
      </w:r>
    </w:p>
    <w:p w:rsidR="00660A60" w:rsidRDefault="00660A60" w:rsidP="00660A60">
      <w:pPr>
        <w:jc w:val="both"/>
        <w:rPr>
          <w:color w:val="000000"/>
          <w:sz w:val="22"/>
          <w:szCs w:val="22"/>
          <w:lang w:eastAsia="en-GB"/>
        </w:rPr>
      </w:pPr>
    </w:p>
    <w:p w:rsidR="004161B6" w:rsidRPr="00356D64" w:rsidRDefault="004161B6" w:rsidP="00660A60">
      <w:pPr>
        <w:jc w:val="both"/>
        <w:rPr>
          <w:color w:val="000000"/>
          <w:sz w:val="22"/>
          <w:szCs w:val="22"/>
          <w:lang w:eastAsia="en-GB"/>
        </w:rPr>
      </w:pPr>
    </w:p>
    <w:p w:rsidR="00660A60" w:rsidRDefault="00660A60" w:rsidP="00660A60">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660A60" w:rsidRPr="00FA05A6" w:rsidRDefault="00660A60" w:rsidP="00660A60">
      <w:pPr>
        <w:ind w:left="720"/>
        <w:jc w:val="both"/>
        <w:rPr>
          <w:bCs/>
          <w:sz w:val="22"/>
          <w:szCs w:val="22"/>
          <w:lang w:eastAsia="en-GB"/>
        </w:rPr>
      </w:pPr>
      <w:r w:rsidRPr="00660A60">
        <w:rPr>
          <w:bCs/>
          <w:sz w:val="22"/>
          <w:szCs w:val="22"/>
          <w:lang w:eastAsia="en-GB"/>
        </w:rPr>
        <w:lastRenderedPageBreak/>
        <w:t>The proposed development has been assessed as set out above and is considered to be acceptable on that basis, subject to the following conditions.</w:t>
      </w:r>
    </w:p>
    <w:p w:rsidR="00603270" w:rsidRDefault="00603270" w:rsidP="00660A60">
      <w:pPr>
        <w:pStyle w:val="yiv552378054msonormal"/>
        <w:ind w:left="720" w:hanging="709"/>
        <w:jc w:val="both"/>
        <w:rPr>
          <w:rFonts w:ascii="Trebuchet MS" w:hAnsi="Trebuchet MS"/>
          <w:b/>
          <w:bCs/>
          <w:sz w:val="22"/>
          <w:szCs w:val="22"/>
        </w:rPr>
      </w:pPr>
    </w:p>
    <w:p w:rsidR="00660A60" w:rsidRPr="00FF3B1B" w:rsidRDefault="00660A60" w:rsidP="00660A60">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660A60" w:rsidRDefault="00660A60" w:rsidP="00603270">
      <w:pPr>
        <w:ind w:left="720"/>
        <w:jc w:val="both"/>
        <w:rPr>
          <w:rFonts w:cs="Trebuchet MS"/>
          <w:sz w:val="22"/>
          <w:szCs w:val="22"/>
          <w:lang w:eastAsia="en-GB"/>
        </w:rPr>
      </w:pPr>
      <w:r w:rsidRPr="006511AF">
        <w:rPr>
          <w:rFonts w:cs="Trebuchet MS"/>
          <w:sz w:val="22"/>
          <w:szCs w:val="22"/>
          <w:lang w:eastAsia="en-GB"/>
        </w:rPr>
        <w:t>Recommended Conditions:</w:t>
      </w:r>
    </w:p>
    <w:p w:rsidR="00603270" w:rsidRDefault="00603270" w:rsidP="00603270">
      <w:pPr>
        <w:ind w:left="731" w:hanging="11"/>
        <w:jc w:val="both"/>
        <w:rPr>
          <w:rFonts w:cs="Trebuchet MS"/>
          <w:sz w:val="22"/>
          <w:szCs w:val="22"/>
          <w:lang w:eastAsia="en-GB"/>
        </w:rPr>
      </w:pPr>
      <w:r>
        <w:rPr>
          <w:rFonts w:cs="Trebuchet MS"/>
          <w:sz w:val="22"/>
          <w:szCs w:val="22"/>
          <w:lang w:eastAsia="en-GB"/>
        </w:rPr>
        <w:t>AP1: Approved Plans</w:t>
      </w:r>
    </w:p>
    <w:p w:rsidR="00603270" w:rsidRDefault="00603270" w:rsidP="00603270">
      <w:pPr>
        <w:ind w:left="731" w:hanging="11"/>
        <w:jc w:val="both"/>
        <w:rPr>
          <w:rFonts w:cs="Trebuchet MS"/>
          <w:sz w:val="22"/>
          <w:szCs w:val="22"/>
          <w:lang w:eastAsia="en-GB"/>
        </w:rPr>
      </w:pPr>
      <w:r>
        <w:rPr>
          <w:rFonts w:cs="Trebuchet MS"/>
          <w:sz w:val="22"/>
          <w:szCs w:val="22"/>
          <w:lang w:eastAsia="en-GB"/>
        </w:rPr>
        <w:t>PD2: No New Openings</w:t>
      </w:r>
    </w:p>
    <w:p w:rsidR="00603270" w:rsidRPr="006511AF" w:rsidRDefault="00603270" w:rsidP="00603270">
      <w:pPr>
        <w:ind w:left="731" w:hanging="11"/>
        <w:jc w:val="both"/>
        <w:rPr>
          <w:rFonts w:cs="Trebuchet MS"/>
          <w:sz w:val="22"/>
          <w:szCs w:val="22"/>
          <w:lang w:eastAsia="en-GB"/>
        </w:rPr>
      </w:pPr>
      <w:r>
        <w:rPr>
          <w:rFonts w:cs="Trebuchet MS"/>
          <w:sz w:val="22"/>
          <w:szCs w:val="22"/>
          <w:lang w:eastAsia="en-GB"/>
        </w:rPr>
        <w:t>PD6: Ancillary Domestic Use</w:t>
      </w:r>
    </w:p>
    <w:p w:rsidR="00660A60" w:rsidRPr="00F727FC" w:rsidRDefault="00660A60" w:rsidP="00660A60"/>
    <w:p w:rsidR="00660A60" w:rsidRDefault="00660A60" w:rsidP="00660A60">
      <w:pPr>
        <w:pStyle w:val="BodyText"/>
        <w:tabs>
          <w:tab w:val="left" w:pos="2552"/>
        </w:tabs>
        <w:ind w:left="2552" w:hanging="2552"/>
        <w:jc w:val="right"/>
        <w:rPr>
          <w:rFonts w:ascii="Trebuchet MS" w:hAnsi="Trebuchet MS"/>
          <w:sz w:val="22"/>
          <w:szCs w:val="22"/>
        </w:rPr>
      </w:pPr>
    </w:p>
    <w:p w:rsidR="00660A60" w:rsidRDefault="00660A60">
      <w:pPr>
        <w:pStyle w:val="BodyText"/>
        <w:tabs>
          <w:tab w:val="left" w:pos="2552"/>
        </w:tabs>
        <w:ind w:left="2552" w:hanging="2552"/>
        <w:jc w:val="both"/>
        <w:rPr>
          <w:rFonts w:ascii="Trebuchet MS" w:hAnsi="Trebuchet MS"/>
          <w:sz w:val="22"/>
          <w:szCs w:val="22"/>
        </w:rPr>
      </w:pPr>
    </w:p>
    <w:sectPr w:rsidR="00660A60" w:rsidSect="00660A60">
      <w:footerReference w:type="default" r:id="rId10"/>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142" w:rsidRDefault="007D7142">
      <w:r>
        <w:separator/>
      </w:r>
    </w:p>
  </w:endnote>
  <w:endnote w:type="continuationSeparator" w:id="0">
    <w:p w:rsidR="007D7142" w:rsidRDefault="007D7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1B6" w:rsidRDefault="004161B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142" w:rsidRDefault="007D7142">
      <w:r>
        <w:separator/>
      </w:r>
    </w:p>
  </w:footnote>
  <w:footnote w:type="continuationSeparator" w:id="0">
    <w:p w:rsidR="007D7142" w:rsidRDefault="007D7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2A1535"/>
    <w:rsid w:val="003F71C9"/>
    <w:rsid w:val="004161B6"/>
    <w:rsid w:val="00603270"/>
    <w:rsid w:val="00660A60"/>
    <w:rsid w:val="007B0EEC"/>
    <w:rsid w:val="007D7142"/>
    <w:rsid w:val="0091493B"/>
    <w:rsid w:val="00F86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1E9303BE-8CCE-4A71-BEDE-1EF2061D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5962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2023-04-19T13:34:00Z</dcterms:created>
  <dcterms:modified xsi:type="dcterms:W3CDTF">2023-04-19T13:34:00Z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