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5D4" w:rsidRPr="00FF3B1B" w:rsidRDefault="00DF55D4" w:rsidP="00DF55D4">
      <w:pPr>
        <w:pStyle w:val="BodyText"/>
        <w:tabs>
          <w:tab w:val="left" w:pos="2552"/>
        </w:tabs>
        <w:ind w:left="3272" w:hanging="2552"/>
        <w:jc w:val="both"/>
        <w:rPr>
          <w:rFonts w:ascii="Trebuchet MS" w:hAnsi="Trebuchet MS"/>
          <w:sz w:val="22"/>
          <w:szCs w:val="22"/>
        </w:rPr>
      </w:pPr>
      <w:bookmarkStart w:id="0" w:name="_GoBack"/>
      <w:bookmarkEnd w:id="0"/>
      <w:r w:rsidRPr="00FF3B1B">
        <w:rPr>
          <w:rFonts w:ascii="Trebuchet MS" w:hAnsi="Trebuchet MS"/>
          <w:sz w:val="22"/>
          <w:szCs w:val="22"/>
        </w:rPr>
        <w:t>DELEGATED APPLICATION REPORT</w:t>
      </w:r>
    </w:p>
    <w:p w:rsidR="00DF55D4" w:rsidRPr="00FF3B1B" w:rsidRDefault="00DF55D4" w:rsidP="00DF55D4">
      <w:pPr>
        <w:pStyle w:val="BodyText"/>
        <w:tabs>
          <w:tab w:val="left" w:pos="2552"/>
        </w:tabs>
        <w:ind w:left="3272" w:hanging="2552"/>
        <w:jc w:val="both"/>
        <w:rPr>
          <w:rFonts w:ascii="Trebuchet MS" w:hAnsi="Trebuchet MS"/>
          <w:sz w:val="22"/>
          <w:szCs w:val="22"/>
        </w:rPr>
      </w:pPr>
    </w:p>
    <w:p w:rsidR="00DF55D4" w:rsidRPr="00FF3B1B" w:rsidRDefault="00DF55D4" w:rsidP="00DF55D4">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Whitley</w:t>
      </w:r>
    </w:p>
    <w:p w:rsidR="00DF55D4" w:rsidRPr="00FF3B1B" w:rsidRDefault="00DF55D4" w:rsidP="00DF55D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221026</w:t>
      </w:r>
      <w:r w:rsidRPr="00FF3B1B">
        <w:rPr>
          <w:rFonts w:ascii="Trebuchet MS" w:hAnsi="Trebuchet MS"/>
          <w:b w:val="0"/>
          <w:sz w:val="22"/>
          <w:szCs w:val="22"/>
        </w:rPr>
        <w:t>/</w:t>
      </w:r>
      <w:r w:rsidRPr="00FF3B1B">
        <w:rPr>
          <w:rFonts w:ascii="Trebuchet MS" w:hAnsi="Trebuchet MS"/>
          <w:sz w:val="22"/>
          <w:szCs w:val="22"/>
        </w:rPr>
        <w:t>FUL</w:t>
      </w:r>
    </w:p>
    <w:p w:rsidR="00DF55D4" w:rsidRPr="00FF3B1B" w:rsidRDefault="00DF55D4" w:rsidP="00DF55D4">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Wm Morrison Plc, Basingstoke Road, Reading, RG2 0HB</w:t>
      </w:r>
    </w:p>
    <w:p w:rsidR="00DF55D4" w:rsidRPr="00FF3B1B" w:rsidRDefault="00DF55D4" w:rsidP="00DF55D4">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Planning application for the erection of a barbers pod within the car park (retrospective) </w:t>
      </w:r>
    </w:p>
    <w:p w:rsidR="00DF55D4" w:rsidRPr="00FF3B1B" w:rsidRDefault="00DF55D4" w:rsidP="00DF55D4">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DF55D4" w:rsidRPr="00FF3B1B" w:rsidRDefault="00DF55D4" w:rsidP="00DF55D4">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.Wm Morrison Supermarkets Ltd</w:t>
      </w:r>
    </w:p>
    <w:p w:rsidR="00DF55D4" w:rsidRDefault="00DF55D4" w:rsidP="00DF55D4">
      <w:pPr>
        <w:pStyle w:val="BodyText"/>
        <w:ind w:left="720"/>
        <w:jc w:val="both"/>
        <w:rPr>
          <w:rFonts w:ascii="Trebuchet MS" w:hAnsi="Trebuchet MS"/>
          <w:sz w:val="22"/>
          <w:szCs w:val="22"/>
        </w:rPr>
      </w:pPr>
      <w:r w:rsidRPr="00FF3B1B">
        <w:rPr>
          <w:rFonts w:ascii="Trebuchet MS" w:hAnsi="Trebuchet MS"/>
          <w:sz w:val="22"/>
          <w:szCs w:val="22"/>
        </w:rPr>
        <w:t>Date received (valid from): 2 August 2022</w:t>
      </w:r>
      <w:r>
        <w:rPr>
          <w:rFonts w:ascii="Trebuchet MS" w:hAnsi="Trebuchet MS"/>
          <w:sz w:val="22"/>
          <w:szCs w:val="22"/>
        </w:rPr>
        <w:t xml:space="preserve">      </w:t>
      </w:r>
    </w:p>
    <w:p w:rsidR="00DF55D4" w:rsidRPr="00FF3B1B" w:rsidRDefault="00DF55D4" w:rsidP="00DF55D4">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7A5F50">
        <w:rPr>
          <w:rFonts w:ascii="Trebuchet MS" w:hAnsi="Trebuchet MS" w:cs="Trebuchet MS"/>
          <w:noProof/>
          <w:sz w:val="22"/>
          <w:szCs w:val="22"/>
        </w:rPr>
        <w:t>12 Octo</w:t>
      </w:r>
      <w:r w:rsidRPr="00FF3B1B">
        <w:rPr>
          <w:rFonts w:ascii="Trebuchet MS" w:hAnsi="Trebuchet MS" w:cs="Trebuchet MS"/>
          <w:noProof/>
          <w:sz w:val="22"/>
          <w:szCs w:val="22"/>
        </w:rPr>
        <w:t>ber</w:t>
      </w:r>
      <w:r w:rsidRPr="00FF3B1B">
        <w:rPr>
          <w:rFonts w:ascii="Trebuchet MS" w:hAnsi="Trebuchet MS" w:cs="Trebuchet MS"/>
          <w:sz w:val="22"/>
          <w:szCs w:val="22"/>
        </w:rPr>
        <w:t xml:space="preserve"> 2022</w:t>
      </w:r>
      <w:r w:rsidR="00CA3EA5">
        <w:rPr>
          <w:rFonts w:ascii="Trebuchet MS" w:hAnsi="Trebuchet MS" w:cs="Trebuchet MS"/>
          <w:sz w:val="22"/>
          <w:szCs w:val="22"/>
        </w:rPr>
        <w:t xml:space="preserve"> (EXT)</w:t>
      </w:r>
      <w:r w:rsidRPr="00FF3B1B">
        <w:rPr>
          <w:rFonts w:ascii="Trebuchet MS" w:hAnsi="Trebuchet MS"/>
          <w:sz w:val="22"/>
          <w:szCs w:val="22"/>
        </w:rPr>
        <w:tab/>
      </w:r>
    </w:p>
    <w:p w:rsidR="00DF55D4" w:rsidRPr="00FF3B1B" w:rsidRDefault="00DF55D4">
      <w:pPr>
        <w:pStyle w:val="BodyText"/>
        <w:tabs>
          <w:tab w:val="left" w:pos="2552"/>
        </w:tabs>
        <w:ind w:left="2552" w:hanging="2552"/>
        <w:jc w:val="both"/>
        <w:rPr>
          <w:rFonts w:ascii="Trebuchet MS" w:hAnsi="Trebuchet MS"/>
          <w:b w:val="0"/>
          <w:sz w:val="22"/>
          <w:szCs w:val="22"/>
        </w:rPr>
      </w:pPr>
    </w:p>
    <w:p w:rsidR="00DF55D4" w:rsidRDefault="00DF55D4" w:rsidP="00315DFC">
      <w:pPr>
        <w:numPr>
          <w:ilvl w:val="0"/>
          <w:numId w:val="35"/>
        </w:numPr>
        <w:jc w:val="both"/>
        <w:rPr>
          <w:b/>
          <w:bCs/>
          <w:sz w:val="22"/>
          <w:szCs w:val="22"/>
        </w:rPr>
      </w:pPr>
      <w:r>
        <w:rPr>
          <w:b/>
          <w:bCs/>
          <w:sz w:val="22"/>
          <w:szCs w:val="22"/>
        </w:rPr>
        <w:t>SITE DESCRIPTION</w:t>
      </w:r>
    </w:p>
    <w:p w:rsidR="00315DFC" w:rsidRDefault="00315DFC" w:rsidP="00315DFC">
      <w:pPr>
        <w:ind w:left="720"/>
        <w:jc w:val="both"/>
        <w:rPr>
          <w:sz w:val="22"/>
          <w:szCs w:val="22"/>
        </w:rPr>
      </w:pPr>
      <w:r w:rsidRPr="00315DFC">
        <w:rPr>
          <w:sz w:val="22"/>
          <w:szCs w:val="22"/>
        </w:rPr>
        <w:t>The site is bounded by Rose Kiln Lane to the north; the B3031 Basingstoke Road to the east; automotive, foodstore and leisure units to the south; and Gillette Way and Brunel Retail Park to the west. The Morrisons car park is accessed via Rose Kiln Lane and Basingstoke Road with pedestrian links provided via Rose Kiln Lane, Basingstoke Road and Gillette Way. There are bus stops located on Gillette Way and Basingstoke Road further providing accessibility to the site.</w:t>
      </w:r>
    </w:p>
    <w:p w:rsidR="002C3074" w:rsidRDefault="002C3074" w:rsidP="00315DFC">
      <w:pPr>
        <w:ind w:left="720"/>
        <w:jc w:val="both"/>
        <w:rPr>
          <w:noProof/>
          <w:lang w:eastAsia="en-GB"/>
        </w:rPr>
      </w:pPr>
    </w:p>
    <w:p w:rsidR="002C3074" w:rsidRPr="00315DFC" w:rsidRDefault="002837A0" w:rsidP="00BA2B71">
      <w:pPr>
        <w:jc w:val="both"/>
        <w:rPr>
          <w:b/>
          <w:bCs/>
          <w:sz w:val="22"/>
          <w:szCs w:val="22"/>
        </w:rPr>
      </w:pP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4529455</wp:posOffset>
                </wp:positionH>
                <wp:positionV relativeFrom="paragraph">
                  <wp:posOffset>644525</wp:posOffset>
                </wp:positionV>
                <wp:extent cx="191770" cy="155575"/>
                <wp:effectExtent l="0" t="0" r="0" b="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155575"/>
                        </a:xfrm>
                        <a:prstGeom prst="rect">
                          <a:avLst/>
                        </a:prstGeom>
                        <a:noFill/>
                        <a:ln w="4127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C880CD" id="Rectangle 2" o:spid="_x0000_s1026" style="position:absolute;margin-left:356.65pt;margin-top:50.75pt;width:15.1pt;height:1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" filled="f" strokecolor="red" strokeweight="3.25pt"/>
            </w:pict>
          </mc:Fallback>
        </mc:AlternateContent>
      </w:r>
      <w:r w:rsidR="00BA2B71">
        <w:rPr>
          <w:noProof/>
          <w:lang w:eastAsia="en-GB"/>
        </w:rPr>
        <w:t xml:space="preserve">              </w:t>
      </w:r>
      <w:r w:rsidRPr="00185990">
        <w:rPr>
          <w:noProof/>
          <w:lang w:eastAsia="en-GB"/>
        </w:rPr>
        <w:drawing>
          <wp:inline distT="0" distB="0" distL="0" distR="0">
            <wp:extent cx="2642870" cy="1865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42870" cy="1865630"/>
                    </a:xfrm>
                    <a:prstGeom prst="rect">
                      <a:avLst/>
                    </a:prstGeom>
                    <a:noFill/>
                    <a:ln>
                      <a:noFill/>
                    </a:ln>
                  </pic:spPr>
                </pic:pic>
              </a:graphicData>
            </a:graphic>
          </wp:inline>
        </w:drawing>
      </w:r>
      <w:r w:rsidR="002C3074">
        <w:rPr>
          <w:noProof/>
          <w:lang w:eastAsia="en-GB"/>
        </w:rPr>
        <w:t xml:space="preserve"> </w:t>
      </w:r>
      <w:r w:rsidRPr="00185990">
        <w:rPr>
          <w:noProof/>
          <w:lang w:eastAsia="en-GB"/>
        </w:rPr>
        <w:drawing>
          <wp:inline distT="0" distB="0" distL="0" distR="0">
            <wp:extent cx="2514600" cy="18745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1874520"/>
                    </a:xfrm>
                    <a:prstGeom prst="rect">
                      <a:avLst/>
                    </a:prstGeom>
                    <a:noFill/>
                    <a:ln>
                      <a:noFill/>
                    </a:ln>
                  </pic:spPr>
                </pic:pic>
              </a:graphicData>
            </a:graphic>
          </wp:inline>
        </w:drawing>
      </w:r>
    </w:p>
    <w:p w:rsidR="00DF55D4" w:rsidRDefault="00DF55D4">
      <w:pPr>
        <w:jc w:val="both"/>
        <w:rPr>
          <w:sz w:val="22"/>
          <w:szCs w:val="22"/>
        </w:rPr>
      </w:pPr>
    </w:p>
    <w:p w:rsidR="001501F9" w:rsidRPr="00FF3B1B" w:rsidRDefault="002837A0" w:rsidP="001501F9">
      <w:pPr>
        <w:ind w:left="720"/>
        <w:jc w:val="both"/>
        <w:rPr>
          <w:sz w:val="22"/>
          <w:szCs w:val="22"/>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2711450</wp:posOffset>
                </wp:positionH>
                <wp:positionV relativeFrom="paragraph">
                  <wp:posOffset>1245235</wp:posOffset>
                </wp:positionV>
                <wp:extent cx="751840" cy="514985"/>
                <wp:effectExtent l="0" t="0" r="0" b="0"/>
                <wp:wrapNone/>
                <wp:docPr id="6" name="Rectangle 3" descr="Wide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19398">
                          <a:off x="0" y="0"/>
                          <a:ext cx="751840" cy="514985"/>
                        </a:xfrm>
                        <a:prstGeom prst="rect">
                          <a:avLst/>
                        </a:prstGeom>
                        <a:pattFill prst="wdDnDiag">
                          <a:fgClr>
                            <a:srgbClr val="000000"/>
                          </a:fgClr>
                          <a:bgClr>
                            <a:srgbClr val="FFFFFF"/>
                          </a:bgClr>
                        </a:pattFill>
                        <a:ln w="3810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9C85D5" id="Rectangle 3" o:spid="_x0000_s1026" alt="Wide downward diagonal" style="position:absolute;margin-left:213.5pt;margin-top:98.05pt;width:59.2pt;height:40.55pt;rotation:1113454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" fillcolor="black" strokecolor="red" strokeweight="3pt">
                <v:fill r:id="rId9" o:title="" type="pattern"/>
              </v:rect>
            </w:pict>
          </mc:Fallback>
        </mc:AlternateContent>
      </w:r>
      <w:r w:rsidR="001501F9">
        <w:rPr>
          <w:noProof/>
          <w:lang w:eastAsia="en-GB"/>
        </w:rPr>
        <w:t xml:space="preserve">    </w:t>
      </w:r>
      <w:r w:rsidRPr="00185990">
        <w:rPr>
          <w:noProof/>
          <w:lang w:eastAsia="en-GB"/>
        </w:rPr>
        <w:drawing>
          <wp:inline distT="0" distB="0" distL="0" distR="0">
            <wp:extent cx="5212080" cy="26701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2080" cy="2670175"/>
                    </a:xfrm>
                    <a:prstGeom prst="rect">
                      <a:avLst/>
                    </a:prstGeom>
                    <a:noFill/>
                    <a:ln>
                      <a:noFill/>
                    </a:ln>
                  </pic:spPr>
                </pic:pic>
              </a:graphicData>
            </a:graphic>
          </wp:inline>
        </w:drawing>
      </w:r>
    </w:p>
    <w:p w:rsidR="00DF55D4" w:rsidRPr="00FF3B1B" w:rsidRDefault="00DF55D4" w:rsidP="00DF55D4">
      <w:pPr>
        <w:ind w:firstLine="720"/>
        <w:rPr>
          <w:sz w:val="22"/>
          <w:szCs w:val="22"/>
        </w:rPr>
      </w:pPr>
    </w:p>
    <w:p w:rsidR="00DF55D4" w:rsidRPr="00FF3B1B" w:rsidRDefault="00DF55D4">
      <w:pPr>
        <w:jc w:val="both"/>
        <w:rPr>
          <w:b/>
          <w:bCs/>
          <w:sz w:val="22"/>
          <w:szCs w:val="22"/>
        </w:rPr>
      </w:pPr>
    </w:p>
    <w:p w:rsidR="00DF55D4" w:rsidRPr="001501F9" w:rsidRDefault="00DF55D4" w:rsidP="001501F9">
      <w:pPr>
        <w:jc w:val="both"/>
        <w:rPr>
          <w:b/>
          <w:bCs/>
          <w:sz w:val="22"/>
          <w:szCs w:val="22"/>
        </w:rPr>
      </w:pPr>
      <w:r w:rsidRPr="00FF3B1B">
        <w:rPr>
          <w:b/>
          <w:bCs/>
          <w:sz w:val="22"/>
          <w:szCs w:val="22"/>
        </w:rPr>
        <w:t>2.</w:t>
      </w:r>
      <w:r w:rsidRPr="00FF3B1B">
        <w:rPr>
          <w:b/>
          <w:bCs/>
          <w:sz w:val="22"/>
          <w:szCs w:val="22"/>
        </w:rPr>
        <w:tab/>
        <w:t>PROPOSAL AND SUPPORTING INFORMATIO</w:t>
      </w:r>
      <w:r w:rsidR="001501F9">
        <w:rPr>
          <w:b/>
          <w:bCs/>
          <w:sz w:val="22"/>
          <w:szCs w:val="22"/>
        </w:rPr>
        <w:t>N</w:t>
      </w:r>
    </w:p>
    <w:p w:rsidR="00DF55D4" w:rsidRPr="00FF3B1B" w:rsidRDefault="0012299D" w:rsidP="00700919">
      <w:pPr>
        <w:ind w:left="720"/>
        <w:rPr>
          <w:sz w:val="22"/>
          <w:szCs w:val="22"/>
        </w:rPr>
      </w:pPr>
      <w:r>
        <w:rPr>
          <w:sz w:val="22"/>
          <w:szCs w:val="22"/>
        </w:rPr>
        <w:t>The p</w:t>
      </w:r>
      <w:r w:rsidR="00DF55D4">
        <w:rPr>
          <w:sz w:val="22"/>
          <w:szCs w:val="22"/>
        </w:rPr>
        <w:t xml:space="preserve">lanning application </w:t>
      </w:r>
      <w:r>
        <w:rPr>
          <w:sz w:val="22"/>
          <w:szCs w:val="22"/>
        </w:rPr>
        <w:t xml:space="preserve">is </w:t>
      </w:r>
      <w:r w:rsidR="00DF55D4">
        <w:rPr>
          <w:sz w:val="22"/>
          <w:szCs w:val="22"/>
        </w:rPr>
        <w:t>for the erection of a barbers pod within the car park</w:t>
      </w:r>
      <w:r>
        <w:rPr>
          <w:sz w:val="22"/>
          <w:szCs w:val="22"/>
        </w:rPr>
        <w:t>, taking up spaces for three cars</w:t>
      </w:r>
      <w:r w:rsidR="00DF55D4">
        <w:rPr>
          <w:sz w:val="22"/>
          <w:szCs w:val="22"/>
        </w:rPr>
        <w:t xml:space="preserve"> (retrospective)</w:t>
      </w:r>
      <w:r>
        <w:rPr>
          <w:sz w:val="22"/>
          <w:szCs w:val="22"/>
        </w:rPr>
        <w:t>.</w:t>
      </w:r>
      <w:r w:rsidR="00DF55D4">
        <w:rPr>
          <w:sz w:val="22"/>
          <w:szCs w:val="22"/>
        </w:rPr>
        <w:t xml:space="preserve"> </w:t>
      </w:r>
    </w:p>
    <w:p w:rsidR="00DF55D4" w:rsidRPr="00FF3B1B" w:rsidRDefault="00DF55D4">
      <w:pPr>
        <w:pStyle w:val="BodyText"/>
        <w:ind w:left="720" w:hanging="720"/>
        <w:jc w:val="both"/>
        <w:rPr>
          <w:rFonts w:ascii="Trebuchet MS" w:hAnsi="Trebuchet MS"/>
          <w:b w:val="0"/>
          <w:sz w:val="22"/>
          <w:szCs w:val="22"/>
        </w:rPr>
      </w:pPr>
    </w:p>
    <w:p w:rsidR="00DF55D4" w:rsidRDefault="00DF55D4" w:rsidP="00700919">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F56F80">
        <w:rPr>
          <w:rFonts w:ascii="Trebuchet MS" w:hAnsi="Trebuchet MS"/>
          <w:b w:val="0"/>
          <w:bCs/>
          <w:sz w:val="22"/>
          <w:szCs w:val="22"/>
        </w:rPr>
        <w:t xml:space="preserve"> received 14</w:t>
      </w:r>
      <w:r w:rsidR="00F56F80" w:rsidRPr="00F56F80">
        <w:rPr>
          <w:rFonts w:ascii="Trebuchet MS" w:hAnsi="Trebuchet MS"/>
          <w:b w:val="0"/>
          <w:bCs/>
          <w:sz w:val="22"/>
          <w:szCs w:val="22"/>
          <w:vertAlign w:val="superscript"/>
        </w:rPr>
        <w:t>th</w:t>
      </w:r>
      <w:r w:rsidR="00F56F80">
        <w:rPr>
          <w:rFonts w:ascii="Trebuchet MS" w:hAnsi="Trebuchet MS"/>
          <w:b w:val="0"/>
          <w:bCs/>
          <w:sz w:val="22"/>
          <w:szCs w:val="22"/>
        </w:rPr>
        <w:t xml:space="preserve"> July 2022</w:t>
      </w:r>
    </w:p>
    <w:p w:rsidR="00DF55D4" w:rsidRDefault="00C30D31" w:rsidP="00F56F80">
      <w:pPr>
        <w:pStyle w:val="BodyText"/>
        <w:ind w:left="1440" w:hanging="720"/>
        <w:jc w:val="both"/>
        <w:rPr>
          <w:rFonts w:ascii="Trebuchet MS" w:hAnsi="Trebuchet MS" w:cs="Calibri-Light"/>
          <w:b w:val="0"/>
          <w:sz w:val="22"/>
          <w:szCs w:val="22"/>
          <w:lang w:eastAsia="en-GB"/>
        </w:rPr>
      </w:pPr>
      <w:r>
        <w:rPr>
          <w:rFonts w:ascii="Trebuchet MS" w:hAnsi="Trebuchet MS" w:cs="Calibri-Light"/>
          <w:b w:val="0"/>
          <w:sz w:val="22"/>
          <w:szCs w:val="22"/>
          <w:lang w:eastAsia="en-GB"/>
        </w:rPr>
        <w:t>Drawing No.</w:t>
      </w:r>
      <w:r w:rsidR="0012299D" w:rsidRPr="00F56F80">
        <w:rPr>
          <w:rFonts w:ascii="Trebuchet MS" w:hAnsi="Trebuchet MS" w:cs="Calibri-Light"/>
          <w:b w:val="0"/>
          <w:sz w:val="22"/>
          <w:szCs w:val="22"/>
          <w:lang w:eastAsia="en-GB"/>
        </w:rPr>
        <w:t>359_PL_01</w:t>
      </w:r>
      <w:r w:rsidR="00F56F80">
        <w:rPr>
          <w:rFonts w:ascii="Trebuchet MS" w:hAnsi="Trebuchet MS" w:cs="Calibri-Light"/>
          <w:b w:val="0"/>
          <w:sz w:val="22"/>
          <w:szCs w:val="22"/>
          <w:lang w:eastAsia="en-GB"/>
        </w:rPr>
        <w:t>Rev A: Location Plan</w:t>
      </w:r>
    </w:p>
    <w:p w:rsidR="00F56F80" w:rsidRDefault="00C30D31" w:rsidP="00F56F80">
      <w:pPr>
        <w:pStyle w:val="BodyText"/>
        <w:ind w:left="1440" w:hanging="720"/>
        <w:jc w:val="both"/>
        <w:rPr>
          <w:rFonts w:ascii="Trebuchet MS" w:hAnsi="Trebuchet MS" w:cs="Calibri-Light"/>
          <w:b w:val="0"/>
          <w:sz w:val="22"/>
          <w:szCs w:val="22"/>
          <w:lang w:eastAsia="en-GB"/>
        </w:rPr>
      </w:pPr>
      <w:r>
        <w:rPr>
          <w:rFonts w:ascii="Trebuchet MS" w:hAnsi="Trebuchet MS" w:cs="Calibri-Light"/>
          <w:b w:val="0"/>
          <w:sz w:val="22"/>
          <w:szCs w:val="22"/>
          <w:lang w:eastAsia="en-GB"/>
        </w:rPr>
        <w:t>Drawing No.</w:t>
      </w:r>
      <w:r w:rsidR="00F56F80" w:rsidRPr="00F56F80">
        <w:rPr>
          <w:rFonts w:ascii="Trebuchet MS" w:hAnsi="Trebuchet MS" w:cs="Calibri-Light"/>
          <w:b w:val="0"/>
          <w:sz w:val="22"/>
          <w:szCs w:val="22"/>
          <w:lang w:eastAsia="en-GB"/>
        </w:rPr>
        <w:t>359_PL_02 Rev A:</w:t>
      </w:r>
      <w:r w:rsidR="00F56F80">
        <w:rPr>
          <w:rFonts w:ascii="Trebuchet MS" w:hAnsi="Trebuchet MS" w:cs="Calibri-Light"/>
          <w:b w:val="0"/>
          <w:sz w:val="22"/>
          <w:szCs w:val="22"/>
          <w:lang w:eastAsia="en-GB"/>
        </w:rPr>
        <w:t xml:space="preserve"> Proposed Site Plan</w:t>
      </w:r>
    </w:p>
    <w:p w:rsidR="00F56F80" w:rsidRDefault="00C30D31" w:rsidP="00F56F80">
      <w:pPr>
        <w:pStyle w:val="BodyText"/>
        <w:ind w:left="1440" w:hanging="720"/>
        <w:jc w:val="both"/>
        <w:rPr>
          <w:rFonts w:ascii="Trebuchet MS" w:hAnsi="Trebuchet MS" w:cs="Calibri-Light"/>
          <w:b w:val="0"/>
          <w:sz w:val="22"/>
          <w:szCs w:val="22"/>
          <w:lang w:eastAsia="en-GB"/>
        </w:rPr>
      </w:pPr>
      <w:r>
        <w:rPr>
          <w:rFonts w:ascii="Trebuchet MS" w:hAnsi="Trebuchet MS" w:cs="Calibri-Light"/>
          <w:b w:val="0"/>
          <w:sz w:val="22"/>
          <w:szCs w:val="22"/>
          <w:lang w:eastAsia="en-GB"/>
        </w:rPr>
        <w:lastRenderedPageBreak/>
        <w:t>Drawing No.</w:t>
      </w:r>
      <w:r w:rsidR="00F56F80">
        <w:rPr>
          <w:rFonts w:ascii="Trebuchet MS" w:hAnsi="Trebuchet MS" w:cs="Calibri-Light"/>
          <w:b w:val="0"/>
          <w:sz w:val="22"/>
          <w:szCs w:val="22"/>
          <w:lang w:eastAsia="en-GB"/>
        </w:rPr>
        <w:t>100 Rev P01: General Arrangement</w:t>
      </w:r>
    </w:p>
    <w:p w:rsidR="00F56F80" w:rsidRDefault="00C30D31" w:rsidP="00F56F80">
      <w:pPr>
        <w:pStyle w:val="BodyText"/>
        <w:ind w:left="1440" w:hanging="720"/>
        <w:jc w:val="both"/>
        <w:rPr>
          <w:rFonts w:ascii="Trebuchet MS" w:hAnsi="Trebuchet MS" w:cs="Calibri-Light"/>
          <w:b w:val="0"/>
          <w:sz w:val="22"/>
          <w:szCs w:val="22"/>
          <w:lang w:eastAsia="en-GB"/>
        </w:rPr>
      </w:pPr>
      <w:r>
        <w:rPr>
          <w:rFonts w:ascii="Trebuchet MS" w:hAnsi="Trebuchet MS" w:cs="Calibri-Light"/>
          <w:b w:val="0"/>
          <w:sz w:val="22"/>
          <w:szCs w:val="22"/>
          <w:lang w:eastAsia="en-GB"/>
        </w:rPr>
        <w:t>Drawing No.</w:t>
      </w:r>
      <w:r w:rsidR="00F56F80">
        <w:rPr>
          <w:rFonts w:ascii="Trebuchet MS" w:hAnsi="Trebuchet MS" w:cs="Calibri-Light"/>
          <w:b w:val="0"/>
          <w:sz w:val="22"/>
          <w:szCs w:val="22"/>
          <w:lang w:eastAsia="en-GB"/>
        </w:rPr>
        <w:t>140 Rev C02: General Arrangement</w:t>
      </w:r>
    </w:p>
    <w:p w:rsidR="0099683F" w:rsidRDefault="0099683F" w:rsidP="00F56F80">
      <w:pPr>
        <w:pStyle w:val="BodyText"/>
        <w:ind w:left="1440" w:hanging="720"/>
        <w:jc w:val="both"/>
        <w:rPr>
          <w:rFonts w:ascii="Trebuchet MS" w:hAnsi="Trebuchet MS" w:cs="Calibri-Light"/>
          <w:b w:val="0"/>
          <w:sz w:val="22"/>
          <w:szCs w:val="22"/>
          <w:lang w:eastAsia="en-GB"/>
        </w:rPr>
      </w:pPr>
    </w:p>
    <w:p w:rsidR="0099683F" w:rsidRDefault="002837A0" w:rsidP="00F56F80">
      <w:pPr>
        <w:pStyle w:val="BodyText"/>
        <w:ind w:left="1440" w:hanging="720"/>
        <w:jc w:val="both"/>
        <w:rPr>
          <w:rFonts w:ascii="Trebuchet MS" w:hAnsi="Trebuchet MS" w:cs="Calibri-Light"/>
          <w:b w:val="0"/>
          <w:sz w:val="22"/>
          <w:szCs w:val="22"/>
          <w:lang w:eastAsia="en-GB"/>
        </w:rPr>
      </w:pPr>
      <w:r w:rsidRPr="0099683F">
        <w:rPr>
          <w:rFonts w:ascii="Trebuchet MS" w:hAnsi="Trebuchet MS" w:cs="Calibri-Light"/>
          <w:b w:val="0"/>
          <w:noProof/>
          <w:sz w:val="22"/>
          <w:szCs w:val="22"/>
          <w:lang w:eastAsia="en-GB"/>
        </w:rPr>
        <w:drawing>
          <wp:inline distT="0" distB="0" distL="0" distR="0">
            <wp:extent cx="2313305" cy="23317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3305" cy="2331720"/>
                    </a:xfrm>
                    <a:prstGeom prst="rect">
                      <a:avLst/>
                    </a:prstGeom>
                    <a:noFill/>
                    <a:ln>
                      <a:noFill/>
                    </a:ln>
                  </pic:spPr>
                </pic:pic>
              </a:graphicData>
            </a:graphic>
          </wp:inline>
        </w:drawing>
      </w:r>
      <w:r w:rsidR="0099683F" w:rsidRPr="0099683F">
        <w:rPr>
          <w:rFonts w:cs="Calibri-Light"/>
          <w:sz w:val="22"/>
          <w:szCs w:val="22"/>
          <w:lang w:eastAsia="en-GB"/>
        </w:rPr>
        <w:t xml:space="preserve"> </w:t>
      </w:r>
      <w:r w:rsidR="0099683F">
        <w:rPr>
          <w:rFonts w:cs="Calibri-Light"/>
          <w:sz w:val="22"/>
          <w:szCs w:val="22"/>
          <w:lang w:eastAsia="en-GB"/>
        </w:rPr>
        <w:t xml:space="preserve">                            </w:t>
      </w:r>
      <w:r w:rsidRPr="0099683F">
        <w:rPr>
          <w:rFonts w:ascii="Trebuchet MS" w:hAnsi="Trebuchet MS" w:cs="Calibri-Light"/>
          <w:b w:val="0"/>
          <w:noProof/>
          <w:sz w:val="22"/>
          <w:szCs w:val="22"/>
          <w:lang w:eastAsia="en-GB"/>
        </w:rPr>
        <w:drawing>
          <wp:inline distT="0" distB="0" distL="0" distR="0">
            <wp:extent cx="2066290" cy="2203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6290" cy="2203450"/>
                    </a:xfrm>
                    <a:prstGeom prst="rect">
                      <a:avLst/>
                    </a:prstGeom>
                    <a:noFill/>
                    <a:ln>
                      <a:noFill/>
                    </a:ln>
                  </pic:spPr>
                </pic:pic>
              </a:graphicData>
            </a:graphic>
          </wp:inline>
        </w:drawing>
      </w:r>
    </w:p>
    <w:p w:rsidR="00F56F80" w:rsidRDefault="0099683F" w:rsidP="00F56F80">
      <w:pPr>
        <w:pStyle w:val="BodyText"/>
        <w:ind w:left="1440" w:hanging="720"/>
        <w:jc w:val="both"/>
        <w:rPr>
          <w:rFonts w:ascii="Trebuchet MS" w:hAnsi="Trebuchet MS"/>
          <w:b w:val="0"/>
          <w:sz w:val="22"/>
          <w:szCs w:val="22"/>
        </w:rPr>
      </w:pPr>
      <w:r>
        <w:rPr>
          <w:rFonts w:ascii="Trebuchet MS" w:hAnsi="Trebuchet MS"/>
          <w:b w:val="0"/>
          <w:sz w:val="22"/>
          <w:szCs w:val="22"/>
        </w:rPr>
        <w:t xml:space="preserve">                Site Layout                                                     Plans and Elevations</w:t>
      </w:r>
    </w:p>
    <w:p w:rsidR="0099683F" w:rsidRPr="00F56F80" w:rsidRDefault="0099683F" w:rsidP="00F56F80">
      <w:pPr>
        <w:pStyle w:val="BodyText"/>
        <w:ind w:left="1440" w:hanging="720"/>
        <w:jc w:val="both"/>
        <w:rPr>
          <w:rFonts w:ascii="Trebuchet MS" w:hAnsi="Trebuchet MS"/>
          <w:b w:val="0"/>
          <w:sz w:val="22"/>
          <w:szCs w:val="22"/>
        </w:rPr>
      </w:pPr>
    </w:p>
    <w:p w:rsidR="00DF55D4" w:rsidRPr="00FF3B1B" w:rsidRDefault="00DF55D4">
      <w:pPr>
        <w:numPr>
          <w:ilvl w:val="0"/>
          <w:numId w:val="24"/>
        </w:numPr>
        <w:ind w:hanging="720"/>
        <w:jc w:val="both"/>
        <w:rPr>
          <w:b/>
          <w:bCs/>
          <w:sz w:val="22"/>
          <w:szCs w:val="22"/>
        </w:rPr>
      </w:pPr>
      <w:r w:rsidRPr="00FF3B1B">
        <w:rPr>
          <w:b/>
          <w:bCs/>
          <w:sz w:val="22"/>
          <w:szCs w:val="22"/>
        </w:rPr>
        <w:t xml:space="preserve">RELEVANT PLANNING HISTORY </w:t>
      </w:r>
    </w:p>
    <w:p w:rsidR="00DF55D4" w:rsidRPr="004D4304" w:rsidRDefault="00F56F80" w:rsidP="00C30D31">
      <w:pPr>
        <w:ind w:left="720"/>
        <w:jc w:val="both"/>
        <w:rPr>
          <w:bCs/>
          <w:sz w:val="22"/>
          <w:szCs w:val="22"/>
        </w:rPr>
      </w:pPr>
      <w:r>
        <w:rPr>
          <w:bCs/>
          <w:sz w:val="22"/>
          <w:szCs w:val="22"/>
        </w:rPr>
        <w:t>None</w:t>
      </w:r>
    </w:p>
    <w:p w:rsidR="00DF55D4" w:rsidRPr="00FF3B1B" w:rsidRDefault="00DF55D4" w:rsidP="00DF55D4">
      <w:pPr>
        <w:jc w:val="both"/>
        <w:rPr>
          <w:b/>
          <w:bCs/>
          <w:sz w:val="22"/>
          <w:szCs w:val="22"/>
        </w:rPr>
      </w:pPr>
    </w:p>
    <w:p w:rsidR="00DF55D4" w:rsidRPr="00FF3B1B" w:rsidRDefault="00DF55D4">
      <w:pPr>
        <w:jc w:val="both"/>
        <w:rPr>
          <w:b/>
          <w:bCs/>
          <w:sz w:val="22"/>
          <w:szCs w:val="22"/>
        </w:rPr>
      </w:pPr>
      <w:r w:rsidRPr="00FF3B1B">
        <w:rPr>
          <w:b/>
          <w:bCs/>
          <w:sz w:val="22"/>
          <w:szCs w:val="22"/>
        </w:rPr>
        <w:t>4.</w:t>
      </w:r>
      <w:r w:rsidRPr="00FF3B1B">
        <w:rPr>
          <w:b/>
          <w:bCs/>
          <w:sz w:val="22"/>
          <w:szCs w:val="22"/>
        </w:rPr>
        <w:tab/>
        <w:t>CONSULTATIONS</w:t>
      </w:r>
    </w:p>
    <w:p w:rsidR="00DF55D4" w:rsidRPr="00FF3B1B" w:rsidRDefault="00DF55D4" w:rsidP="00E0490C">
      <w:pPr>
        <w:jc w:val="both"/>
        <w:rPr>
          <w:sz w:val="22"/>
          <w:szCs w:val="22"/>
        </w:rPr>
      </w:pPr>
    </w:p>
    <w:p w:rsidR="00DF55D4" w:rsidRPr="00FF3B1B" w:rsidRDefault="00E0490C" w:rsidP="00700919">
      <w:pPr>
        <w:ind w:left="1440" w:hanging="720"/>
        <w:jc w:val="both"/>
        <w:rPr>
          <w:sz w:val="22"/>
          <w:szCs w:val="22"/>
        </w:rPr>
      </w:pPr>
      <w:r>
        <w:rPr>
          <w:sz w:val="22"/>
          <w:szCs w:val="22"/>
        </w:rPr>
        <w:t>No l</w:t>
      </w:r>
      <w:r w:rsidR="00DF55D4" w:rsidRPr="00FF3B1B">
        <w:rPr>
          <w:sz w:val="22"/>
          <w:szCs w:val="22"/>
        </w:rPr>
        <w:t>etters of representatio</w:t>
      </w:r>
      <w:r>
        <w:rPr>
          <w:sz w:val="22"/>
          <w:szCs w:val="22"/>
        </w:rPr>
        <w:t>n have been received.</w:t>
      </w:r>
    </w:p>
    <w:p w:rsidR="00DF55D4" w:rsidRDefault="00DF55D4" w:rsidP="00700919">
      <w:pPr>
        <w:ind w:left="720"/>
        <w:jc w:val="both"/>
        <w:rPr>
          <w:sz w:val="22"/>
          <w:szCs w:val="22"/>
        </w:rPr>
      </w:pPr>
    </w:p>
    <w:p w:rsidR="00DF55D4" w:rsidRPr="00700919" w:rsidRDefault="00DF55D4" w:rsidP="00700919">
      <w:pPr>
        <w:overflowPunct/>
        <w:adjustRightInd/>
        <w:ind w:left="720"/>
        <w:jc w:val="both"/>
        <w:textAlignment w:val="auto"/>
        <w:rPr>
          <w:rFonts w:cs="Arial"/>
          <w:b/>
          <w:bCs/>
          <w:color w:val="000000"/>
          <w:sz w:val="22"/>
          <w:szCs w:val="22"/>
          <w:lang w:eastAsia="en-GB"/>
        </w:rPr>
      </w:pPr>
      <w:r w:rsidRPr="00700919">
        <w:rPr>
          <w:rFonts w:cs="Arial"/>
          <w:b/>
          <w:bCs/>
          <w:color w:val="000000"/>
          <w:sz w:val="22"/>
          <w:szCs w:val="22"/>
          <w:lang w:eastAsia="en-GB"/>
        </w:rPr>
        <w:t>Equality Act 2010:</w:t>
      </w:r>
    </w:p>
    <w:p w:rsidR="00DF55D4" w:rsidRPr="00700919" w:rsidRDefault="00DF55D4" w:rsidP="00700919">
      <w:pPr>
        <w:overflowPunct/>
        <w:adjustRightInd/>
        <w:ind w:left="720"/>
        <w:jc w:val="both"/>
        <w:textAlignment w:val="auto"/>
        <w:rPr>
          <w:rFonts w:cs="Arial"/>
          <w:bCs/>
          <w:color w:val="000000"/>
          <w:sz w:val="22"/>
          <w:szCs w:val="22"/>
          <w:lang w:eastAsia="en-GB"/>
        </w:rPr>
      </w:pPr>
      <w:r w:rsidRPr="00700919">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F55D4" w:rsidRPr="00FF3B1B" w:rsidRDefault="00DF55D4">
      <w:pPr>
        <w:ind w:left="720" w:hanging="720"/>
        <w:jc w:val="both"/>
        <w:rPr>
          <w:sz w:val="22"/>
          <w:szCs w:val="22"/>
        </w:rPr>
      </w:pPr>
    </w:p>
    <w:p w:rsidR="00DF55D4" w:rsidRPr="00FF3B1B" w:rsidRDefault="00700919" w:rsidP="00DF55D4">
      <w:pPr>
        <w:numPr>
          <w:ilvl w:val="0"/>
          <w:numId w:val="29"/>
        </w:numPr>
        <w:jc w:val="both"/>
        <w:rPr>
          <w:b/>
          <w:bCs/>
          <w:sz w:val="22"/>
          <w:szCs w:val="22"/>
          <w:lang w:eastAsia="en-GB"/>
        </w:rPr>
      </w:pPr>
      <w:r>
        <w:rPr>
          <w:b/>
          <w:bCs/>
          <w:sz w:val="22"/>
          <w:szCs w:val="22"/>
          <w:lang w:eastAsia="en-GB"/>
        </w:rPr>
        <w:t xml:space="preserve">      </w:t>
      </w:r>
      <w:r w:rsidR="00DF55D4" w:rsidRPr="00FF3B1B">
        <w:rPr>
          <w:b/>
          <w:bCs/>
          <w:sz w:val="22"/>
          <w:szCs w:val="22"/>
          <w:lang w:eastAsia="en-GB"/>
        </w:rPr>
        <w:t>LEGAL AND PLANNING POLICY CONTEXT</w:t>
      </w:r>
    </w:p>
    <w:p w:rsidR="00DF55D4" w:rsidRPr="00FF3B1B" w:rsidRDefault="00DF55D4" w:rsidP="00DF55D4">
      <w:pPr>
        <w:ind w:left="720"/>
        <w:jc w:val="both"/>
        <w:rPr>
          <w:bCs/>
          <w:sz w:val="22"/>
          <w:szCs w:val="22"/>
          <w:lang w:eastAsia="en-GB"/>
        </w:rPr>
      </w:pPr>
    </w:p>
    <w:p w:rsidR="00DF55D4" w:rsidRPr="00FF3B1B" w:rsidRDefault="00DF55D4" w:rsidP="00700919">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DF55D4" w:rsidRDefault="00DF55D4" w:rsidP="00700919">
      <w:pPr>
        <w:ind w:left="720"/>
        <w:jc w:val="both"/>
        <w:rPr>
          <w:rFonts w:cs="TrebuchetMS"/>
          <w:sz w:val="22"/>
          <w:szCs w:val="22"/>
          <w:highlight w:val="yellow"/>
          <w:lang w:eastAsia="en-GB"/>
        </w:rPr>
      </w:pPr>
    </w:p>
    <w:p w:rsidR="00DF55D4" w:rsidRPr="00D60CBD" w:rsidRDefault="00DF55D4" w:rsidP="00700919">
      <w:pPr>
        <w:ind w:left="720"/>
        <w:jc w:val="both"/>
        <w:rPr>
          <w:rFonts w:cs="TrebuchetMS"/>
          <w:sz w:val="22"/>
          <w:szCs w:val="22"/>
          <w:lang w:eastAsia="en-GB"/>
        </w:rPr>
      </w:pPr>
      <w:r w:rsidRPr="00D60CBD">
        <w:rPr>
          <w:rFonts w:cs="TrebuchetMS"/>
          <w:sz w:val="22"/>
          <w:szCs w:val="22"/>
          <w:lang w:eastAsia="en-GB"/>
        </w:rPr>
        <w:t>Section 16(2) of the Planning (Listed Buildings and Conservation Areas) Act 1990 requires the local planning authority to have special regard to the desirability of preserving a listed building or its setting or any features of special interest which it possesses.</w:t>
      </w:r>
    </w:p>
    <w:p w:rsidR="00DF55D4" w:rsidRPr="00D60CBD" w:rsidRDefault="00DF55D4" w:rsidP="00700919">
      <w:pPr>
        <w:ind w:left="720"/>
        <w:jc w:val="both"/>
        <w:rPr>
          <w:rFonts w:cs="TrebuchetMS"/>
          <w:sz w:val="22"/>
          <w:szCs w:val="22"/>
          <w:lang w:eastAsia="en-GB"/>
        </w:rPr>
      </w:pPr>
    </w:p>
    <w:p w:rsidR="00DF55D4" w:rsidRPr="00D60CBD" w:rsidRDefault="00DF55D4" w:rsidP="00700919">
      <w:pPr>
        <w:ind w:left="720"/>
        <w:jc w:val="both"/>
        <w:rPr>
          <w:rFonts w:cs="Trebuchet MS"/>
          <w:bCs/>
          <w:sz w:val="22"/>
          <w:szCs w:val="22"/>
        </w:rPr>
      </w:pPr>
      <w:r w:rsidRPr="00D60CBD">
        <w:rPr>
          <w:rFonts w:cs="TrebuchetMS"/>
          <w:sz w:val="22"/>
          <w:szCs w:val="22"/>
          <w:lang w:eastAsia="en-GB"/>
        </w:rPr>
        <w:t xml:space="preserve">Section 72 (1) of the Planning (Listed Buildings and Conservation Areas) Act 1990 requires the local planning authority in the exercise of its functions to pay special attention to the </w:t>
      </w:r>
      <w:r w:rsidRPr="00D60CBD">
        <w:rPr>
          <w:rFonts w:cs="TrebuchetMS"/>
          <w:sz w:val="22"/>
          <w:szCs w:val="22"/>
          <w:lang w:eastAsia="en-GB"/>
        </w:rPr>
        <w:lastRenderedPageBreak/>
        <w:t>desirability of preserving or enhancing the character or appearance of a conservation area.</w:t>
      </w:r>
    </w:p>
    <w:p w:rsidR="00DF55D4" w:rsidRPr="00D60CBD" w:rsidRDefault="00DF55D4" w:rsidP="00DF55D4">
      <w:pPr>
        <w:jc w:val="both"/>
        <w:rPr>
          <w:b/>
          <w:bCs/>
          <w:sz w:val="22"/>
          <w:szCs w:val="22"/>
          <w:lang w:eastAsia="en-GB"/>
        </w:rPr>
      </w:pPr>
    </w:p>
    <w:p w:rsidR="00DF55D4" w:rsidRPr="00D60CBD" w:rsidRDefault="00DF55D4" w:rsidP="00D60CBD">
      <w:pPr>
        <w:ind w:left="720"/>
        <w:jc w:val="both"/>
        <w:rPr>
          <w:b/>
          <w:bCs/>
          <w:sz w:val="22"/>
          <w:szCs w:val="22"/>
          <w:u w:val="single"/>
          <w:lang w:eastAsia="en-GB"/>
        </w:rPr>
      </w:pPr>
      <w:r w:rsidRPr="00D60CBD">
        <w:rPr>
          <w:b/>
          <w:bCs/>
          <w:sz w:val="22"/>
          <w:szCs w:val="22"/>
          <w:u w:val="single"/>
          <w:lang w:eastAsia="en-GB"/>
        </w:rPr>
        <w:t>National Policy</w:t>
      </w:r>
    </w:p>
    <w:p w:rsidR="00DF55D4" w:rsidRPr="00D60CBD" w:rsidRDefault="00DF55D4" w:rsidP="00D60CBD">
      <w:pPr>
        <w:ind w:left="720"/>
        <w:jc w:val="both"/>
        <w:rPr>
          <w:bCs/>
          <w:sz w:val="22"/>
          <w:szCs w:val="22"/>
          <w:lang w:eastAsia="en-GB"/>
        </w:rPr>
      </w:pPr>
      <w:r w:rsidRPr="00D60CBD">
        <w:rPr>
          <w:bCs/>
          <w:sz w:val="22"/>
          <w:szCs w:val="22"/>
          <w:lang w:eastAsia="en-GB"/>
        </w:rPr>
        <w:t xml:space="preserve">National Planning Policy Framework </w:t>
      </w:r>
    </w:p>
    <w:p w:rsidR="00DF55D4" w:rsidRPr="00D60CBD" w:rsidRDefault="00DF55D4" w:rsidP="00D60CBD">
      <w:pPr>
        <w:ind w:left="720"/>
        <w:jc w:val="both"/>
        <w:rPr>
          <w:bCs/>
          <w:sz w:val="22"/>
          <w:szCs w:val="22"/>
          <w:lang w:eastAsia="en-GB"/>
        </w:rPr>
      </w:pPr>
      <w:r w:rsidRPr="00D60CBD">
        <w:rPr>
          <w:bCs/>
          <w:sz w:val="22"/>
          <w:szCs w:val="22"/>
          <w:lang w:eastAsia="en-GB"/>
        </w:rPr>
        <w:t>National Planning Practice Guidance</w:t>
      </w:r>
    </w:p>
    <w:p w:rsidR="00DF55D4" w:rsidRPr="00D60CBD" w:rsidRDefault="00DF55D4" w:rsidP="00D60CBD">
      <w:pPr>
        <w:ind w:left="720"/>
        <w:jc w:val="both"/>
        <w:rPr>
          <w:bCs/>
          <w:sz w:val="22"/>
          <w:szCs w:val="22"/>
          <w:lang w:eastAsia="en-GB"/>
        </w:rPr>
      </w:pPr>
    </w:p>
    <w:p w:rsidR="00DF55D4" w:rsidRPr="00D60CBD" w:rsidRDefault="00DF55D4" w:rsidP="00D60CBD">
      <w:pPr>
        <w:ind w:left="720"/>
        <w:jc w:val="both"/>
        <w:rPr>
          <w:b/>
          <w:bCs/>
          <w:sz w:val="22"/>
          <w:szCs w:val="22"/>
          <w:u w:val="single"/>
          <w:lang w:eastAsia="en-GB"/>
        </w:rPr>
      </w:pPr>
      <w:r w:rsidRPr="00D60CBD">
        <w:rPr>
          <w:b/>
          <w:bCs/>
          <w:sz w:val="22"/>
          <w:szCs w:val="22"/>
          <w:u w:val="single"/>
          <w:lang w:eastAsia="en-GB"/>
        </w:rPr>
        <w:t>Reading Borough Local Plan (2019)</w:t>
      </w:r>
    </w:p>
    <w:p w:rsidR="00DF55D4" w:rsidRPr="00D60CBD" w:rsidRDefault="00DF55D4" w:rsidP="00D60CBD">
      <w:pPr>
        <w:ind w:left="720"/>
        <w:jc w:val="both"/>
        <w:rPr>
          <w:bCs/>
          <w:sz w:val="22"/>
          <w:szCs w:val="22"/>
        </w:rPr>
      </w:pPr>
      <w:r w:rsidRPr="00D60CBD">
        <w:rPr>
          <w:bCs/>
          <w:sz w:val="22"/>
          <w:szCs w:val="22"/>
        </w:rPr>
        <w:t>CC7 (Design and the Public Realm)</w:t>
      </w:r>
    </w:p>
    <w:p w:rsidR="00DF55D4" w:rsidRPr="00D60CBD" w:rsidRDefault="00DF55D4" w:rsidP="00D60CBD">
      <w:pPr>
        <w:ind w:left="720"/>
        <w:jc w:val="both"/>
        <w:rPr>
          <w:bCs/>
          <w:sz w:val="22"/>
          <w:szCs w:val="22"/>
        </w:rPr>
      </w:pPr>
      <w:r w:rsidRPr="00D60CBD">
        <w:rPr>
          <w:bCs/>
          <w:sz w:val="22"/>
          <w:szCs w:val="22"/>
        </w:rPr>
        <w:t xml:space="preserve">CC8 (Safeguarding Amenity) </w:t>
      </w:r>
    </w:p>
    <w:p w:rsidR="00DF55D4" w:rsidRPr="00D60CBD" w:rsidRDefault="00DF55D4" w:rsidP="00D60CBD">
      <w:pPr>
        <w:ind w:left="720"/>
        <w:jc w:val="both"/>
        <w:rPr>
          <w:sz w:val="22"/>
          <w:szCs w:val="22"/>
          <w:lang w:eastAsia="en-GB"/>
        </w:rPr>
      </w:pPr>
      <w:r w:rsidRPr="00D60CBD">
        <w:rPr>
          <w:sz w:val="22"/>
          <w:szCs w:val="22"/>
          <w:lang w:eastAsia="en-GB"/>
        </w:rPr>
        <w:t>TR3 (Access Traffic and Highway-related Matters)</w:t>
      </w:r>
    </w:p>
    <w:p w:rsidR="00DF55D4" w:rsidRPr="00D60CBD" w:rsidRDefault="00DF55D4" w:rsidP="00D60CBD">
      <w:pPr>
        <w:ind w:left="720"/>
        <w:jc w:val="both"/>
        <w:rPr>
          <w:sz w:val="22"/>
          <w:szCs w:val="22"/>
          <w:lang w:eastAsia="en-GB"/>
        </w:rPr>
      </w:pPr>
      <w:r w:rsidRPr="00D60CBD">
        <w:rPr>
          <w:sz w:val="22"/>
          <w:szCs w:val="22"/>
          <w:lang w:eastAsia="en-GB"/>
        </w:rPr>
        <w:t>TR5 (Car and Cycle Parking)</w:t>
      </w:r>
    </w:p>
    <w:p w:rsidR="00DF55D4" w:rsidRPr="00FF3B1B" w:rsidRDefault="00DF55D4">
      <w:pPr>
        <w:jc w:val="both"/>
        <w:rPr>
          <w:b/>
          <w:bCs/>
          <w:sz w:val="22"/>
          <w:szCs w:val="22"/>
        </w:rPr>
      </w:pPr>
    </w:p>
    <w:p w:rsidR="00DF55D4" w:rsidRPr="00FF3B1B" w:rsidRDefault="00DF55D4">
      <w:pPr>
        <w:jc w:val="both"/>
        <w:rPr>
          <w:b/>
          <w:bCs/>
          <w:sz w:val="22"/>
          <w:szCs w:val="22"/>
        </w:rPr>
      </w:pPr>
      <w:r w:rsidRPr="00FF3B1B">
        <w:rPr>
          <w:b/>
          <w:bCs/>
          <w:sz w:val="22"/>
          <w:szCs w:val="22"/>
        </w:rPr>
        <w:t>6.</w:t>
      </w:r>
      <w:r w:rsidRPr="00FF3B1B">
        <w:rPr>
          <w:b/>
          <w:bCs/>
          <w:sz w:val="22"/>
          <w:szCs w:val="22"/>
        </w:rPr>
        <w:tab/>
        <w:t>APPRAISAL</w:t>
      </w:r>
    </w:p>
    <w:p w:rsidR="008C1786" w:rsidRDefault="008C1786" w:rsidP="00D60CBD">
      <w:pPr>
        <w:ind w:left="720"/>
        <w:rPr>
          <w:bCs/>
          <w:iCs/>
          <w:sz w:val="22"/>
          <w:szCs w:val="22"/>
          <w:lang w:eastAsia="en-GB"/>
        </w:rPr>
      </w:pPr>
      <w:r w:rsidRPr="008C1786">
        <w:rPr>
          <w:b/>
          <w:bCs/>
          <w:sz w:val="22"/>
          <w:szCs w:val="22"/>
          <w:lang w:eastAsia="en-GB"/>
        </w:rPr>
        <w:t>Environmental Protection</w:t>
      </w:r>
      <w:r>
        <w:rPr>
          <w:bCs/>
          <w:i/>
          <w:iCs/>
          <w:sz w:val="22"/>
          <w:szCs w:val="22"/>
          <w:lang w:eastAsia="en-GB"/>
        </w:rPr>
        <w:t xml:space="preserve"> </w:t>
      </w:r>
      <w:r>
        <w:rPr>
          <w:bCs/>
          <w:iCs/>
          <w:sz w:val="22"/>
          <w:szCs w:val="22"/>
          <w:lang w:eastAsia="en-GB"/>
        </w:rPr>
        <w:t>were consulted on this application and they had no comments.</w:t>
      </w:r>
    </w:p>
    <w:p w:rsidR="008C1786" w:rsidRDefault="008C1786" w:rsidP="00D60CBD">
      <w:pPr>
        <w:ind w:left="720"/>
        <w:rPr>
          <w:bCs/>
          <w:i/>
          <w:iCs/>
          <w:sz w:val="22"/>
          <w:szCs w:val="22"/>
          <w:lang w:eastAsia="en-GB"/>
        </w:rPr>
      </w:pPr>
    </w:p>
    <w:p w:rsidR="008C1786" w:rsidRPr="008C1786" w:rsidRDefault="008C1786" w:rsidP="00D60CBD">
      <w:pPr>
        <w:ind w:left="720"/>
        <w:rPr>
          <w:bCs/>
          <w:iCs/>
          <w:sz w:val="22"/>
          <w:szCs w:val="22"/>
          <w:lang w:eastAsia="en-GB"/>
        </w:rPr>
      </w:pPr>
      <w:r>
        <w:rPr>
          <w:bCs/>
          <w:iCs/>
          <w:sz w:val="22"/>
          <w:szCs w:val="22"/>
          <w:lang w:eastAsia="en-GB"/>
        </w:rPr>
        <w:t>Transport response</w:t>
      </w:r>
      <w:r w:rsidRPr="008C1786">
        <w:rPr>
          <w:bCs/>
          <w:iCs/>
          <w:sz w:val="22"/>
          <w:szCs w:val="22"/>
          <w:lang w:eastAsia="en-GB"/>
        </w:rPr>
        <w:t>:</w:t>
      </w:r>
    </w:p>
    <w:p w:rsidR="008C1786" w:rsidRDefault="008C1786" w:rsidP="008C1786">
      <w:pPr>
        <w:widowControl w:val="0"/>
        <w:overflowPunct/>
        <w:adjustRightInd/>
        <w:ind w:left="720"/>
        <w:textAlignment w:val="auto"/>
        <w:rPr>
          <w:rFonts w:cs="Courier"/>
          <w:szCs w:val="24"/>
        </w:rPr>
      </w:pPr>
      <w:r w:rsidRPr="008C1786">
        <w:rPr>
          <w:rFonts w:cs="Courier"/>
          <w:sz w:val="22"/>
          <w:szCs w:val="22"/>
        </w:rPr>
        <w:t>There are no Transport objections this application as the reduction of car parking spaces will not have a detrimental impact on the existing provision</w:t>
      </w:r>
      <w:r w:rsidRPr="008C1786">
        <w:rPr>
          <w:rFonts w:cs="Courier"/>
          <w:szCs w:val="24"/>
        </w:rPr>
        <w:t>.</w:t>
      </w:r>
    </w:p>
    <w:p w:rsidR="008C1786" w:rsidRDefault="008C1786" w:rsidP="008C1786">
      <w:pPr>
        <w:widowControl w:val="0"/>
        <w:overflowPunct/>
        <w:adjustRightInd/>
        <w:ind w:left="720"/>
        <w:textAlignment w:val="auto"/>
        <w:rPr>
          <w:rFonts w:cs="Courier"/>
          <w:szCs w:val="24"/>
        </w:rPr>
      </w:pPr>
    </w:p>
    <w:p w:rsidR="008C1786" w:rsidRPr="00E0490C" w:rsidRDefault="008C1786" w:rsidP="008C1786">
      <w:pPr>
        <w:widowControl w:val="0"/>
        <w:overflowPunct/>
        <w:adjustRightInd/>
        <w:ind w:left="720"/>
        <w:textAlignment w:val="auto"/>
        <w:rPr>
          <w:rFonts w:cs="Courier"/>
          <w:sz w:val="22"/>
          <w:szCs w:val="22"/>
        </w:rPr>
      </w:pPr>
      <w:r w:rsidRPr="00E0490C">
        <w:rPr>
          <w:rFonts w:cs="Courier"/>
          <w:sz w:val="22"/>
          <w:szCs w:val="22"/>
        </w:rPr>
        <w:t>The barbers pod is not considered to be out of character with the activities and infrastructure around the immediate environment where it is to be developed. The proposal is for the development to b</w:t>
      </w:r>
      <w:r w:rsidR="00315DFC" w:rsidRPr="00E0490C">
        <w:rPr>
          <w:rFonts w:cs="Courier"/>
          <w:sz w:val="22"/>
          <w:szCs w:val="22"/>
        </w:rPr>
        <w:t>e within a single storey height, so the development does not tower over the rest of the developments around it.</w:t>
      </w:r>
    </w:p>
    <w:p w:rsidR="00315DFC" w:rsidRPr="00E0490C" w:rsidRDefault="00315DFC" w:rsidP="008C1786">
      <w:pPr>
        <w:widowControl w:val="0"/>
        <w:overflowPunct/>
        <w:adjustRightInd/>
        <w:ind w:left="720"/>
        <w:textAlignment w:val="auto"/>
        <w:rPr>
          <w:rFonts w:cs="Courier"/>
          <w:sz w:val="22"/>
          <w:szCs w:val="22"/>
        </w:rPr>
      </w:pPr>
    </w:p>
    <w:p w:rsidR="00315DFC" w:rsidRPr="00E0490C" w:rsidRDefault="00315DFC" w:rsidP="008C1786">
      <w:pPr>
        <w:widowControl w:val="0"/>
        <w:overflowPunct/>
        <w:adjustRightInd/>
        <w:ind w:left="720"/>
        <w:textAlignment w:val="auto"/>
        <w:rPr>
          <w:rFonts w:cs="Courier"/>
          <w:sz w:val="22"/>
          <w:szCs w:val="22"/>
        </w:rPr>
      </w:pPr>
      <w:r w:rsidRPr="00E0490C">
        <w:rPr>
          <w:rFonts w:cs="Courier"/>
          <w:sz w:val="22"/>
          <w:szCs w:val="22"/>
        </w:rPr>
        <w:t xml:space="preserve">Therefore, taking together the considerations of the PLA and supported by the advice from transport, it is considered that the development of the pod will not impact negatively on the host site. </w:t>
      </w:r>
    </w:p>
    <w:p w:rsidR="00DF55D4" w:rsidRPr="00315DFC" w:rsidRDefault="008C1786" w:rsidP="00315DFC">
      <w:pPr>
        <w:ind w:left="720"/>
        <w:rPr>
          <w:bCs/>
          <w:i/>
          <w:iCs/>
          <w:sz w:val="22"/>
          <w:szCs w:val="22"/>
          <w:lang w:eastAsia="en-GB"/>
        </w:rPr>
      </w:pPr>
      <w:r w:rsidRPr="008C1786">
        <w:rPr>
          <w:bCs/>
          <w:i/>
          <w:iCs/>
          <w:sz w:val="22"/>
          <w:szCs w:val="22"/>
          <w:lang w:eastAsia="en-GB"/>
        </w:rPr>
        <w:t xml:space="preserve"> </w:t>
      </w:r>
    </w:p>
    <w:p w:rsidR="00DF55D4" w:rsidRDefault="00DF55D4" w:rsidP="00DF55D4">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DF55D4" w:rsidRPr="00FA05A6" w:rsidRDefault="00DF55D4" w:rsidP="00D60CBD">
      <w:pPr>
        <w:ind w:left="720"/>
        <w:jc w:val="both"/>
        <w:rPr>
          <w:bCs/>
          <w:sz w:val="22"/>
          <w:szCs w:val="22"/>
          <w:lang w:eastAsia="en-GB"/>
        </w:rPr>
      </w:pPr>
      <w:r w:rsidRPr="00D60CBD">
        <w:rPr>
          <w:bCs/>
          <w:sz w:val="22"/>
          <w:szCs w:val="22"/>
          <w:lang w:eastAsia="en-GB"/>
        </w:rPr>
        <w:t>The proposed development has been assessed as set out above and is considered to be acceptable on that basis, subject to the following conditions.</w:t>
      </w:r>
    </w:p>
    <w:p w:rsidR="00DF55D4" w:rsidRPr="00356D64" w:rsidRDefault="00DF55D4" w:rsidP="00DF55D4">
      <w:pPr>
        <w:ind w:hanging="11"/>
        <w:jc w:val="both"/>
        <w:rPr>
          <w:rFonts w:cs="Trebuchet MS"/>
          <w:sz w:val="22"/>
          <w:szCs w:val="22"/>
          <w:u w:val="single"/>
          <w:lang w:eastAsia="en-GB"/>
        </w:rPr>
      </w:pPr>
    </w:p>
    <w:p w:rsidR="00DF55D4" w:rsidRPr="00FF3B1B" w:rsidRDefault="00DF55D4">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ECOMMENDATION</w:t>
      </w:r>
      <w:r w:rsidR="00315DFC">
        <w:rPr>
          <w:rFonts w:ascii="Trebuchet MS" w:hAnsi="Trebuchet MS"/>
          <w:b/>
          <w:bCs/>
          <w:sz w:val="22"/>
          <w:szCs w:val="22"/>
        </w:rPr>
        <w:t>: Grant</w:t>
      </w:r>
      <w:r>
        <w:rPr>
          <w:rFonts w:ascii="Trebuchet MS" w:hAnsi="Trebuchet MS"/>
          <w:b/>
          <w:bCs/>
          <w:sz w:val="22"/>
          <w:szCs w:val="22"/>
        </w:rPr>
        <w:t xml:space="preserve"> </w:t>
      </w:r>
      <w:r w:rsidRPr="00FF3B1B">
        <w:rPr>
          <w:rFonts w:ascii="Trebuchet MS" w:hAnsi="Trebuchet MS"/>
          <w:b/>
          <w:bCs/>
          <w:sz w:val="22"/>
          <w:szCs w:val="22"/>
        </w:rPr>
        <w:t xml:space="preserve"> </w:t>
      </w:r>
    </w:p>
    <w:p w:rsidR="00DF55D4" w:rsidRDefault="00DF55D4" w:rsidP="00DF55D4">
      <w:pPr>
        <w:ind w:hanging="11"/>
        <w:jc w:val="both"/>
        <w:rPr>
          <w:rFonts w:cs="Trebuchet MS"/>
          <w:sz w:val="22"/>
          <w:szCs w:val="22"/>
          <w:u w:val="single"/>
          <w:lang w:eastAsia="en-GB"/>
        </w:rPr>
      </w:pPr>
    </w:p>
    <w:p w:rsidR="00DF55D4" w:rsidRPr="006511AF" w:rsidRDefault="00DF55D4" w:rsidP="00D60CBD">
      <w:pPr>
        <w:ind w:left="731" w:hanging="11"/>
        <w:jc w:val="both"/>
        <w:rPr>
          <w:rFonts w:cs="Trebuchet MS"/>
          <w:sz w:val="22"/>
          <w:szCs w:val="22"/>
          <w:lang w:eastAsia="en-GB"/>
        </w:rPr>
      </w:pPr>
    </w:p>
    <w:sectPr w:rsidR="00DF55D4" w:rsidRPr="006511AF">
      <w:headerReference w:type="even" r:id="rId13"/>
      <w:headerReference w:type="default" r:id="rId14"/>
      <w:footerReference w:type="even" r:id="rId15"/>
      <w:footerReference w:type="default" r:id="rId16"/>
      <w:headerReference w:type="first" r:id="rId17"/>
      <w:footerReference w:type="first" r:id="rId18"/>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5DE" w:rsidRDefault="00DE75DE">
      <w:r>
        <w:separator/>
      </w:r>
    </w:p>
  </w:endnote>
  <w:endnote w:type="continuationSeparator" w:id="0">
    <w:p w:rsidR="00DE75DE" w:rsidRDefault="00DE7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Light">
    <w:panose1 w:val="00000000000000000000"/>
    <w:charset w:val="00"/>
    <w:family w:val="auto"/>
    <w:notTrueType/>
    <w:pitch w:val="default"/>
    <w:sig w:usb0="00000003" w:usb1="00000000" w:usb2="00000000" w:usb3="00000000" w:csb0="00000001" w:csb1="00000000"/>
  </w:font>
  <w:font w:name="TrebuchetMS">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altName w:val="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EA5" w:rsidRDefault="00CA3E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EA5" w:rsidRDefault="00CA3EA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EA5" w:rsidRDefault="00CA3E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5DE" w:rsidRDefault="00DE75DE">
      <w:r>
        <w:separator/>
      </w:r>
    </w:p>
  </w:footnote>
  <w:footnote w:type="continuationSeparator" w:id="0">
    <w:p w:rsidR="00DE75DE" w:rsidRDefault="00DE7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EA5" w:rsidRDefault="00CA3E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EA5" w:rsidRDefault="00CA3E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EA5" w:rsidRDefault="00CA3E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A530C03"/>
    <w:multiLevelType w:val="hybridMultilevel"/>
    <w:tmpl w:val="2A42794A"/>
    <w:lvl w:ilvl="0" w:tplc="216A588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2"/>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3"/>
  </w:num>
  <w:num w:numId="33">
    <w:abstractNumId w:val="20"/>
  </w:num>
  <w:num w:numId="34">
    <w:abstractNumId w:val="15"/>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12299D"/>
    <w:rsid w:val="001501F9"/>
    <w:rsid w:val="002837A0"/>
    <w:rsid w:val="002C3074"/>
    <w:rsid w:val="00315DFC"/>
    <w:rsid w:val="00700919"/>
    <w:rsid w:val="007A5F50"/>
    <w:rsid w:val="008C1786"/>
    <w:rsid w:val="0099683F"/>
    <w:rsid w:val="00BA2B71"/>
    <w:rsid w:val="00C30D31"/>
    <w:rsid w:val="00CA3EA5"/>
    <w:rsid w:val="00D60CBD"/>
    <w:rsid w:val="00DE75DE"/>
    <w:rsid w:val="00DF55D4"/>
    <w:rsid w:val="00E0490C"/>
    <w:rsid w:val="00F56F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7CB671BC-BE96-426D-9349-A574BA78D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uiPriority w:val="99"/>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uiPriority w:val="99"/>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2022-10-11T12:03:00Z</dcterms:created>
  <dcterms:modified xsi:type="dcterms:W3CDTF">2022-10-11T12:03:00Z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