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6D4B" w:rsidRDefault="00B64098" w:rsidP="002C6D4B">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49680" cy="5200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9680" cy="520065"/>
                    </a:xfrm>
                    <a:prstGeom prst="rect">
                      <a:avLst/>
                    </a:prstGeom>
                    <a:noFill/>
                    <a:ln>
                      <a:noFill/>
                    </a:ln>
                  </pic:spPr>
                </pic:pic>
              </a:graphicData>
            </a:graphic>
          </wp:inline>
        </w:drawing>
      </w:r>
    </w:p>
    <w:p w:rsidR="002C6D4B" w:rsidRDefault="002C6D4B">
      <w:pPr>
        <w:pStyle w:val="BodyText"/>
        <w:tabs>
          <w:tab w:val="left" w:pos="2552"/>
        </w:tabs>
        <w:ind w:left="2552" w:hanging="2552"/>
        <w:jc w:val="both"/>
        <w:rPr>
          <w:rFonts w:ascii="Trebuchet MS" w:hAnsi="Trebuchet MS"/>
          <w:sz w:val="22"/>
          <w:szCs w:val="22"/>
        </w:rPr>
      </w:pPr>
    </w:p>
    <w:p w:rsidR="002C6D4B" w:rsidRPr="00FF3B1B" w:rsidRDefault="002C6D4B" w:rsidP="002C6D4B">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2C6D4B" w:rsidRPr="00FF3B1B" w:rsidRDefault="002C6D4B" w:rsidP="002C6D4B">
      <w:pPr>
        <w:pStyle w:val="BodyText"/>
        <w:tabs>
          <w:tab w:val="left" w:pos="2552"/>
        </w:tabs>
        <w:ind w:left="3272" w:hanging="2552"/>
        <w:jc w:val="both"/>
        <w:rPr>
          <w:rFonts w:ascii="Trebuchet MS" w:hAnsi="Trebuchet MS"/>
          <w:sz w:val="22"/>
          <w:szCs w:val="22"/>
        </w:rPr>
      </w:pPr>
    </w:p>
    <w:p w:rsidR="002C6D4B" w:rsidRPr="00FF3B1B" w:rsidRDefault="002C6D4B" w:rsidP="002C6D4B">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Coley</w:t>
      </w:r>
    </w:p>
    <w:p w:rsidR="002C6D4B" w:rsidRPr="00FF3B1B" w:rsidRDefault="002C6D4B" w:rsidP="002C6D4B">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220048</w:t>
      </w:r>
      <w:r w:rsidRPr="00FF3B1B">
        <w:rPr>
          <w:rFonts w:ascii="Trebuchet MS" w:hAnsi="Trebuchet MS"/>
          <w:b w:val="0"/>
          <w:sz w:val="22"/>
          <w:szCs w:val="22"/>
        </w:rPr>
        <w:t>/</w:t>
      </w:r>
      <w:r w:rsidRPr="00FF3B1B">
        <w:rPr>
          <w:rFonts w:ascii="Trebuchet MS" w:hAnsi="Trebuchet MS"/>
          <w:sz w:val="22"/>
          <w:szCs w:val="22"/>
        </w:rPr>
        <w:t>LBC</w:t>
      </w:r>
    </w:p>
    <w:p w:rsidR="002C6D4B" w:rsidRPr="00FF3B1B" w:rsidRDefault="002C6D4B" w:rsidP="002C6D4B">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25 Arbour Close, Reading, RG1 6EW</w:t>
      </w:r>
    </w:p>
    <w:p w:rsidR="002C6D4B" w:rsidRPr="00FF3B1B" w:rsidRDefault="002C6D4B" w:rsidP="002C6D4B">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Replacement of all timber sash and casement windows and rear glazed door set with timber double glazed windows / doors to match existing style. </w:t>
      </w:r>
    </w:p>
    <w:p w:rsidR="002C6D4B" w:rsidRPr="00FF3B1B" w:rsidRDefault="002C6D4B" w:rsidP="002C6D4B">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2C6D4B" w:rsidRPr="00FF3B1B" w:rsidRDefault="002C6D4B" w:rsidP="002C6D4B">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Sanctuary Housing Association</w:t>
      </w:r>
    </w:p>
    <w:p w:rsidR="002C6D4B" w:rsidRDefault="002C6D4B" w:rsidP="002C6D4B">
      <w:pPr>
        <w:pStyle w:val="BodyText"/>
        <w:ind w:left="720"/>
        <w:jc w:val="both"/>
        <w:rPr>
          <w:rFonts w:ascii="Trebuchet MS" w:hAnsi="Trebuchet MS"/>
          <w:sz w:val="22"/>
          <w:szCs w:val="22"/>
        </w:rPr>
      </w:pPr>
      <w:r w:rsidRPr="00FF3B1B">
        <w:rPr>
          <w:rFonts w:ascii="Trebuchet MS" w:hAnsi="Trebuchet MS"/>
          <w:sz w:val="22"/>
          <w:szCs w:val="22"/>
        </w:rPr>
        <w:t>Date received (valid from): 10 March 2022</w:t>
      </w:r>
      <w:r>
        <w:rPr>
          <w:rFonts w:ascii="Trebuchet MS" w:hAnsi="Trebuchet MS"/>
          <w:sz w:val="22"/>
          <w:szCs w:val="22"/>
        </w:rPr>
        <w:t xml:space="preserve">      </w:t>
      </w:r>
    </w:p>
    <w:p w:rsidR="002C6D4B" w:rsidRPr="00FF3B1B" w:rsidRDefault="002C6D4B" w:rsidP="002C6D4B">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Pr>
          <w:rFonts w:ascii="Trebuchet MS" w:hAnsi="Trebuchet MS" w:cs="Trebuchet MS"/>
          <w:noProof/>
          <w:sz w:val="22"/>
          <w:szCs w:val="22"/>
        </w:rPr>
        <w:t>11 November</w:t>
      </w:r>
      <w:r w:rsidRPr="00FF3B1B">
        <w:rPr>
          <w:rFonts w:ascii="Trebuchet MS" w:hAnsi="Trebuchet MS" w:cs="Trebuchet MS"/>
          <w:sz w:val="22"/>
          <w:szCs w:val="22"/>
        </w:rPr>
        <w:t xml:space="preserve"> 2022</w:t>
      </w:r>
      <w:r w:rsidR="00027374">
        <w:rPr>
          <w:rFonts w:ascii="Trebuchet MS" w:hAnsi="Trebuchet MS" w:cs="Trebuchet MS"/>
          <w:sz w:val="22"/>
          <w:szCs w:val="22"/>
        </w:rPr>
        <w:t xml:space="preserve"> (EXT)</w:t>
      </w:r>
      <w:r w:rsidRPr="00FF3B1B">
        <w:rPr>
          <w:rFonts w:ascii="Trebuchet MS" w:hAnsi="Trebuchet MS"/>
          <w:sz w:val="22"/>
          <w:szCs w:val="22"/>
        </w:rPr>
        <w:tab/>
      </w:r>
    </w:p>
    <w:p w:rsidR="002C6D4B" w:rsidRPr="00FF3B1B" w:rsidRDefault="002C6D4B">
      <w:pPr>
        <w:pStyle w:val="BodyText"/>
        <w:tabs>
          <w:tab w:val="left" w:pos="2552"/>
        </w:tabs>
        <w:ind w:left="2552" w:hanging="2552"/>
        <w:jc w:val="both"/>
        <w:rPr>
          <w:rFonts w:ascii="Trebuchet MS" w:hAnsi="Trebuchet MS"/>
          <w:b w:val="0"/>
          <w:sz w:val="22"/>
          <w:szCs w:val="22"/>
        </w:rPr>
      </w:pPr>
    </w:p>
    <w:p w:rsidR="002C6D4B" w:rsidRPr="00FF3B1B" w:rsidRDefault="002C6D4B">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2C6D4B" w:rsidRPr="00907E02" w:rsidRDefault="002C6D4B" w:rsidP="002C6D4B">
      <w:pPr>
        <w:ind w:left="720"/>
        <w:jc w:val="both"/>
        <w:rPr>
          <w:sz w:val="22"/>
          <w:szCs w:val="22"/>
        </w:rPr>
      </w:pPr>
      <w:r w:rsidRPr="00907E02">
        <w:rPr>
          <w:sz w:val="22"/>
          <w:szCs w:val="22"/>
        </w:rPr>
        <w:t>The proposal site is a detached Grade II listed terraced dwelling located on Arbour Close, Minster. The listing describes 25 Arbour Close as the Gardener’s Cottage at Coley Park Farm, Wensley Road. The dwelling is a 2 storey red brick construction with a slate roof and end chimney. The front door to the property is central, with three windows on the first floor and two windows on the ground floor. The dwelling is very symmetrical in appearance. To the rear of 25 Arbour Close, there are three windows on the first floor, two windows on the ground floor along with glazed panel French doors. The frames for the windows and French door are white (painted) timber.</w:t>
      </w:r>
    </w:p>
    <w:p w:rsidR="002C6D4B" w:rsidRPr="00907E02" w:rsidRDefault="002C6D4B" w:rsidP="002C6D4B">
      <w:pPr>
        <w:ind w:left="720"/>
        <w:jc w:val="both"/>
        <w:rPr>
          <w:sz w:val="22"/>
          <w:szCs w:val="22"/>
        </w:rPr>
      </w:pPr>
    </w:p>
    <w:p w:rsidR="002C6D4B" w:rsidRDefault="002C6D4B" w:rsidP="002C6D4B">
      <w:pPr>
        <w:ind w:left="720"/>
        <w:jc w:val="both"/>
        <w:rPr>
          <w:sz w:val="22"/>
          <w:szCs w:val="22"/>
        </w:rPr>
      </w:pPr>
      <w:r w:rsidRPr="00907E02">
        <w:rPr>
          <w:sz w:val="22"/>
          <w:szCs w:val="22"/>
        </w:rPr>
        <w:t>25 Arbour Close is set further back from the highway than other dwellings on this road, assumedly to preserve the setting of the Grade II listed building. The proposal site backs on to Holy Brook and Coley Water Meadows.</w:t>
      </w:r>
    </w:p>
    <w:p w:rsidR="002C6D4B" w:rsidRDefault="002C6D4B" w:rsidP="002C6D4B">
      <w:pPr>
        <w:ind w:left="720"/>
        <w:jc w:val="both"/>
        <w:rPr>
          <w:sz w:val="22"/>
          <w:szCs w:val="22"/>
        </w:rPr>
      </w:pPr>
    </w:p>
    <w:p w:rsidR="002C6D4B" w:rsidRPr="00907E02" w:rsidRDefault="002C6D4B" w:rsidP="002C6D4B">
      <w:pPr>
        <w:ind w:left="720"/>
        <w:jc w:val="both"/>
        <w:rPr>
          <w:sz w:val="22"/>
          <w:szCs w:val="22"/>
        </w:rPr>
      </w:pPr>
      <w:r>
        <w:rPr>
          <w:sz w:val="22"/>
          <w:szCs w:val="22"/>
        </w:rPr>
        <w:t xml:space="preserve">    </w:t>
      </w:r>
      <w:r w:rsidRPr="00907E02">
        <w:rPr>
          <w:sz w:val="22"/>
          <w:szCs w:val="22"/>
        </w:rPr>
        <w:t xml:space="preserve"> </w:t>
      </w:r>
      <w:r w:rsidR="00B64098" w:rsidRPr="00907E02">
        <w:rPr>
          <w:noProof/>
          <w:sz w:val="22"/>
          <w:szCs w:val="22"/>
          <w:lang w:eastAsia="en-GB"/>
        </w:rPr>
        <w:drawing>
          <wp:inline distT="0" distB="0" distL="0" distR="0">
            <wp:extent cx="2533650" cy="18872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33650" cy="1887220"/>
                    </a:xfrm>
                    <a:prstGeom prst="rect">
                      <a:avLst/>
                    </a:prstGeom>
                    <a:noFill/>
                    <a:ln>
                      <a:noFill/>
                    </a:ln>
                  </pic:spPr>
                </pic:pic>
              </a:graphicData>
            </a:graphic>
          </wp:inline>
        </w:drawing>
      </w:r>
      <w:r w:rsidRPr="00907E02">
        <w:rPr>
          <w:sz w:val="22"/>
          <w:szCs w:val="22"/>
        </w:rPr>
        <w:t xml:space="preserve">       </w:t>
      </w:r>
      <w:r w:rsidR="00B64098" w:rsidRPr="00907E02">
        <w:rPr>
          <w:noProof/>
          <w:sz w:val="22"/>
          <w:szCs w:val="22"/>
          <w:lang w:eastAsia="en-GB"/>
        </w:rPr>
        <w:drawing>
          <wp:inline distT="0" distB="0" distL="0" distR="0">
            <wp:extent cx="2499995" cy="18707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99995" cy="1870710"/>
                    </a:xfrm>
                    <a:prstGeom prst="rect">
                      <a:avLst/>
                    </a:prstGeom>
                    <a:noFill/>
                    <a:ln>
                      <a:noFill/>
                    </a:ln>
                  </pic:spPr>
                </pic:pic>
              </a:graphicData>
            </a:graphic>
          </wp:inline>
        </w:drawing>
      </w:r>
    </w:p>
    <w:p w:rsidR="002C6D4B" w:rsidRPr="00907E02" w:rsidRDefault="002C6D4B" w:rsidP="002C6D4B">
      <w:pPr>
        <w:ind w:left="720"/>
        <w:jc w:val="both"/>
        <w:rPr>
          <w:sz w:val="22"/>
          <w:szCs w:val="22"/>
        </w:rPr>
      </w:pPr>
      <w:r w:rsidRPr="00907E02">
        <w:rPr>
          <w:sz w:val="22"/>
          <w:szCs w:val="22"/>
        </w:rPr>
        <w:t xml:space="preserve">  </w:t>
      </w:r>
    </w:p>
    <w:p w:rsidR="002C6D4B" w:rsidRPr="00FF3B1B" w:rsidRDefault="002C6D4B">
      <w:pPr>
        <w:jc w:val="both"/>
        <w:rPr>
          <w:b/>
          <w:bCs/>
          <w:sz w:val="22"/>
          <w:szCs w:val="22"/>
        </w:rPr>
      </w:pPr>
    </w:p>
    <w:p w:rsidR="002C6D4B" w:rsidRDefault="002C6D4B">
      <w:pPr>
        <w:jc w:val="both"/>
        <w:rPr>
          <w:b/>
          <w:bCs/>
          <w:sz w:val="22"/>
          <w:szCs w:val="22"/>
        </w:rPr>
      </w:pPr>
      <w:r w:rsidRPr="00FF3B1B">
        <w:rPr>
          <w:b/>
          <w:bCs/>
          <w:sz w:val="22"/>
          <w:szCs w:val="22"/>
        </w:rPr>
        <w:t>2.</w:t>
      </w:r>
      <w:r w:rsidRPr="00FF3B1B">
        <w:rPr>
          <w:b/>
          <w:bCs/>
          <w:sz w:val="22"/>
          <w:szCs w:val="22"/>
        </w:rPr>
        <w:tab/>
        <w:t>PROPOSAL AND SUPPORTING INFORMATION</w:t>
      </w:r>
    </w:p>
    <w:p w:rsidR="002C6D4B" w:rsidRPr="00907E02" w:rsidRDefault="002C6D4B" w:rsidP="002C6D4B">
      <w:pPr>
        <w:pStyle w:val="BodyText"/>
        <w:jc w:val="both"/>
        <w:rPr>
          <w:rFonts w:ascii="Trebuchet MS" w:hAnsi="Trebuchet MS"/>
          <w:sz w:val="22"/>
          <w:szCs w:val="22"/>
        </w:rPr>
      </w:pPr>
    </w:p>
    <w:p w:rsidR="002C6D4B" w:rsidRPr="00907E02" w:rsidRDefault="002C6D4B" w:rsidP="002C6D4B">
      <w:pPr>
        <w:ind w:left="720"/>
        <w:jc w:val="both"/>
        <w:rPr>
          <w:sz w:val="22"/>
          <w:szCs w:val="22"/>
        </w:rPr>
      </w:pPr>
      <w:r w:rsidRPr="00907E02">
        <w:rPr>
          <w:sz w:val="22"/>
          <w:szCs w:val="22"/>
        </w:rPr>
        <w:t>This proposal for replacement of all timber sash and casement windows and rear glazed</w:t>
      </w:r>
    </w:p>
    <w:p w:rsidR="002C6D4B" w:rsidRPr="00907E02" w:rsidRDefault="002C6D4B" w:rsidP="002C6D4B">
      <w:pPr>
        <w:ind w:left="720"/>
        <w:jc w:val="both"/>
        <w:rPr>
          <w:sz w:val="22"/>
          <w:szCs w:val="22"/>
        </w:rPr>
      </w:pPr>
      <w:r w:rsidRPr="00907E02">
        <w:rPr>
          <w:sz w:val="22"/>
          <w:szCs w:val="22"/>
        </w:rPr>
        <w:t xml:space="preserve">door set with timber double glazed windows / doors to match existing style. </w:t>
      </w:r>
    </w:p>
    <w:p w:rsidR="002C6D4B" w:rsidRPr="00FF3B1B" w:rsidRDefault="002C6D4B" w:rsidP="00343D4D">
      <w:pPr>
        <w:pStyle w:val="BodyText"/>
        <w:jc w:val="both"/>
        <w:rPr>
          <w:rFonts w:ascii="Trebuchet MS" w:hAnsi="Trebuchet MS"/>
          <w:b w:val="0"/>
          <w:sz w:val="22"/>
          <w:szCs w:val="22"/>
        </w:rPr>
      </w:pPr>
    </w:p>
    <w:p w:rsidR="002C6D4B" w:rsidRDefault="002C6D4B" w:rsidP="00343D4D">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343D4D">
        <w:rPr>
          <w:rFonts w:ascii="Trebuchet MS" w:hAnsi="Trebuchet MS"/>
          <w:b w:val="0"/>
          <w:bCs/>
          <w:sz w:val="22"/>
          <w:szCs w:val="22"/>
        </w:rPr>
        <w:t xml:space="preserve"> </w:t>
      </w:r>
      <w:r w:rsidR="00343D4D" w:rsidRPr="00907E02">
        <w:rPr>
          <w:rFonts w:ascii="Trebuchet MS" w:hAnsi="Trebuchet MS"/>
          <w:b w:val="0"/>
          <w:bCs/>
          <w:sz w:val="22"/>
          <w:szCs w:val="22"/>
        </w:rPr>
        <w:t>(Received on 13/01/2022):</w:t>
      </w:r>
    </w:p>
    <w:p w:rsidR="00343D4D" w:rsidRPr="00907E02" w:rsidRDefault="00C71E45" w:rsidP="00EC6912">
      <w:pPr>
        <w:pStyle w:val="BodyText"/>
        <w:ind w:left="720"/>
        <w:jc w:val="both"/>
        <w:rPr>
          <w:rFonts w:ascii="Trebuchet MS" w:hAnsi="Trebuchet MS"/>
          <w:b w:val="0"/>
          <w:bCs/>
          <w:sz w:val="22"/>
          <w:szCs w:val="22"/>
        </w:rPr>
      </w:pPr>
      <w:r>
        <w:rPr>
          <w:rFonts w:ascii="Trebuchet MS" w:hAnsi="Trebuchet MS"/>
          <w:b w:val="0"/>
          <w:bCs/>
          <w:sz w:val="22"/>
          <w:szCs w:val="22"/>
        </w:rPr>
        <w:t>Drawing No 1201-</w:t>
      </w:r>
      <w:r w:rsidR="00343D4D" w:rsidRPr="00907E02">
        <w:rPr>
          <w:rFonts w:ascii="Trebuchet MS" w:hAnsi="Trebuchet MS"/>
          <w:b w:val="0"/>
          <w:bCs/>
          <w:sz w:val="22"/>
          <w:szCs w:val="22"/>
        </w:rPr>
        <w:t>Existing Elevations</w:t>
      </w:r>
    </w:p>
    <w:p w:rsidR="00343D4D" w:rsidRDefault="00C71E45" w:rsidP="00EC6912">
      <w:pPr>
        <w:pStyle w:val="BodyText"/>
        <w:ind w:left="720"/>
        <w:jc w:val="both"/>
        <w:rPr>
          <w:rFonts w:ascii="Trebuchet MS" w:hAnsi="Trebuchet MS"/>
          <w:b w:val="0"/>
          <w:bCs/>
          <w:sz w:val="22"/>
          <w:szCs w:val="22"/>
        </w:rPr>
      </w:pPr>
      <w:r>
        <w:rPr>
          <w:rFonts w:ascii="Trebuchet MS" w:hAnsi="Trebuchet MS"/>
          <w:b w:val="0"/>
          <w:bCs/>
          <w:sz w:val="22"/>
          <w:szCs w:val="22"/>
        </w:rPr>
        <w:t>Drawing No 1001- Site</w:t>
      </w:r>
      <w:r w:rsidR="00343D4D" w:rsidRPr="00907E02">
        <w:rPr>
          <w:rFonts w:ascii="Trebuchet MS" w:hAnsi="Trebuchet MS"/>
          <w:b w:val="0"/>
          <w:bCs/>
          <w:sz w:val="22"/>
          <w:szCs w:val="22"/>
        </w:rPr>
        <w:t xml:space="preserve"> and Block Plan</w:t>
      </w:r>
    </w:p>
    <w:p w:rsidR="00C71E45" w:rsidRPr="00907E02" w:rsidRDefault="00C71E45" w:rsidP="00EC6912">
      <w:pPr>
        <w:pStyle w:val="BodyText"/>
        <w:ind w:left="720"/>
        <w:jc w:val="both"/>
        <w:rPr>
          <w:rFonts w:ascii="Trebuchet MS" w:hAnsi="Trebuchet MS"/>
          <w:b w:val="0"/>
          <w:bCs/>
          <w:sz w:val="22"/>
          <w:szCs w:val="22"/>
        </w:rPr>
      </w:pPr>
      <w:r>
        <w:rPr>
          <w:rFonts w:ascii="Trebuchet MS" w:hAnsi="Trebuchet MS"/>
          <w:b w:val="0"/>
          <w:bCs/>
          <w:sz w:val="22"/>
          <w:szCs w:val="22"/>
        </w:rPr>
        <w:t>Drawing No: 1901: Windows/Door Schedule received 12</w:t>
      </w:r>
      <w:r w:rsidRPr="00C71E45">
        <w:rPr>
          <w:rFonts w:ascii="Trebuchet MS" w:hAnsi="Trebuchet MS"/>
          <w:b w:val="0"/>
          <w:bCs/>
          <w:sz w:val="22"/>
          <w:szCs w:val="22"/>
          <w:vertAlign w:val="superscript"/>
        </w:rPr>
        <w:t>th</w:t>
      </w:r>
      <w:r>
        <w:rPr>
          <w:rFonts w:ascii="Trebuchet MS" w:hAnsi="Trebuchet MS"/>
          <w:b w:val="0"/>
          <w:bCs/>
          <w:sz w:val="22"/>
          <w:szCs w:val="22"/>
        </w:rPr>
        <w:t xml:space="preserve"> October 2022</w:t>
      </w:r>
    </w:p>
    <w:p w:rsidR="00343D4D" w:rsidRDefault="00343D4D" w:rsidP="00EC6912">
      <w:pPr>
        <w:pStyle w:val="BodyText"/>
        <w:ind w:left="720"/>
        <w:jc w:val="both"/>
        <w:rPr>
          <w:rFonts w:ascii="Trebuchet MS" w:hAnsi="Trebuchet MS"/>
          <w:b w:val="0"/>
          <w:bCs/>
          <w:sz w:val="22"/>
          <w:szCs w:val="22"/>
        </w:rPr>
      </w:pPr>
      <w:r w:rsidRPr="00907E02">
        <w:rPr>
          <w:rFonts w:ascii="Trebuchet MS" w:hAnsi="Trebuchet MS"/>
          <w:b w:val="0"/>
          <w:bCs/>
          <w:sz w:val="22"/>
          <w:szCs w:val="22"/>
        </w:rPr>
        <w:t>Design and Access Statement</w:t>
      </w:r>
    </w:p>
    <w:p w:rsidR="00343D4D" w:rsidRPr="00907E02" w:rsidRDefault="00343D4D" w:rsidP="00EC6912">
      <w:pPr>
        <w:pStyle w:val="BodyText"/>
        <w:ind w:left="720"/>
        <w:jc w:val="both"/>
        <w:rPr>
          <w:rFonts w:ascii="Trebuchet MS" w:hAnsi="Trebuchet MS"/>
          <w:b w:val="0"/>
          <w:bCs/>
          <w:sz w:val="22"/>
          <w:szCs w:val="22"/>
        </w:rPr>
      </w:pPr>
      <w:r w:rsidRPr="00907E02">
        <w:rPr>
          <w:rFonts w:ascii="Trebuchet MS" w:hAnsi="Trebuchet MS"/>
          <w:b w:val="0"/>
          <w:bCs/>
          <w:sz w:val="22"/>
          <w:szCs w:val="22"/>
        </w:rPr>
        <w:t>Heritage Statement</w:t>
      </w:r>
      <w:bookmarkStart w:id="0" w:name="_GoBack"/>
      <w:bookmarkEnd w:id="0"/>
    </w:p>
    <w:p w:rsidR="00343D4D" w:rsidRDefault="00343D4D" w:rsidP="00EC6912">
      <w:pPr>
        <w:pStyle w:val="BodyText"/>
        <w:ind w:left="720"/>
        <w:jc w:val="both"/>
        <w:rPr>
          <w:rFonts w:ascii="Trebuchet MS" w:hAnsi="Trebuchet MS"/>
          <w:b w:val="0"/>
          <w:bCs/>
          <w:sz w:val="22"/>
          <w:szCs w:val="22"/>
        </w:rPr>
      </w:pPr>
      <w:r w:rsidRPr="00907E02">
        <w:rPr>
          <w:rFonts w:ascii="Trebuchet MS" w:hAnsi="Trebuchet MS"/>
          <w:b w:val="0"/>
          <w:bCs/>
          <w:sz w:val="22"/>
          <w:szCs w:val="22"/>
        </w:rPr>
        <w:t>Photos</w:t>
      </w:r>
    </w:p>
    <w:p w:rsidR="00343D4D" w:rsidRDefault="00343D4D" w:rsidP="00343D4D">
      <w:pPr>
        <w:pStyle w:val="BodyText"/>
        <w:jc w:val="both"/>
        <w:rPr>
          <w:rFonts w:ascii="Trebuchet MS" w:hAnsi="Trebuchet MS"/>
          <w:b w:val="0"/>
          <w:bCs/>
          <w:sz w:val="22"/>
          <w:szCs w:val="22"/>
        </w:rPr>
      </w:pPr>
    </w:p>
    <w:p w:rsidR="00343D4D" w:rsidRDefault="00343D4D" w:rsidP="00343D4D">
      <w:pPr>
        <w:pStyle w:val="BodyText"/>
        <w:ind w:left="720"/>
        <w:jc w:val="both"/>
        <w:rPr>
          <w:rFonts w:ascii="Trebuchet MS" w:hAnsi="Trebuchet MS"/>
          <w:b w:val="0"/>
          <w:bCs/>
          <w:sz w:val="22"/>
          <w:szCs w:val="22"/>
        </w:rPr>
      </w:pPr>
      <w:r>
        <w:rPr>
          <w:rFonts w:ascii="Trebuchet MS" w:hAnsi="Trebuchet MS"/>
          <w:b w:val="0"/>
          <w:bCs/>
          <w:sz w:val="22"/>
          <w:szCs w:val="22"/>
        </w:rPr>
        <w:lastRenderedPageBreak/>
        <w:t xml:space="preserve">         </w:t>
      </w:r>
      <w:r w:rsidR="00B64098" w:rsidRPr="005D7E02">
        <w:rPr>
          <w:rFonts w:ascii="Trebuchet MS" w:hAnsi="Trebuchet MS"/>
          <w:b w:val="0"/>
          <w:bCs/>
          <w:noProof/>
          <w:sz w:val="22"/>
          <w:szCs w:val="22"/>
          <w:lang w:eastAsia="en-GB"/>
        </w:rPr>
        <w:drawing>
          <wp:inline distT="0" distB="0" distL="0" distR="0">
            <wp:extent cx="2659380" cy="18789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59380" cy="1878965"/>
                    </a:xfrm>
                    <a:prstGeom prst="rect">
                      <a:avLst/>
                    </a:prstGeom>
                    <a:noFill/>
                    <a:ln>
                      <a:noFill/>
                    </a:ln>
                  </pic:spPr>
                </pic:pic>
              </a:graphicData>
            </a:graphic>
          </wp:inline>
        </w:drawing>
      </w:r>
      <w:r>
        <w:rPr>
          <w:rFonts w:ascii="Trebuchet MS" w:hAnsi="Trebuchet MS"/>
          <w:b w:val="0"/>
          <w:bCs/>
          <w:sz w:val="22"/>
          <w:szCs w:val="22"/>
        </w:rPr>
        <w:t xml:space="preserve">  </w:t>
      </w:r>
      <w:r w:rsidR="00B64098" w:rsidRPr="005D7E02">
        <w:rPr>
          <w:rFonts w:ascii="Trebuchet MS" w:hAnsi="Trebuchet MS"/>
          <w:b w:val="0"/>
          <w:bCs/>
          <w:noProof/>
          <w:sz w:val="22"/>
          <w:szCs w:val="22"/>
          <w:lang w:eastAsia="en-GB"/>
        </w:rPr>
        <w:drawing>
          <wp:inline distT="0" distB="0" distL="0" distR="0">
            <wp:extent cx="2348865" cy="18872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48865" cy="1887220"/>
                    </a:xfrm>
                    <a:prstGeom prst="rect">
                      <a:avLst/>
                    </a:prstGeom>
                    <a:noFill/>
                    <a:ln>
                      <a:noFill/>
                    </a:ln>
                  </pic:spPr>
                </pic:pic>
              </a:graphicData>
            </a:graphic>
          </wp:inline>
        </w:drawing>
      </w:r>
    </w:p>
    <w:p w:rsidR="00343D4D" w:rsidRDefault="00343D4D" w:rsidP="00343D4D">
      <w:pPr>
        <w:pStyle w:val="BodyText"/>
        <w:jc w:val="both"/>
        <w:rPr>
          <w:rFonts w:ascii="Trebuchet MS" w:hAnsi="Trebuchet MS"/>
          <w:b w:val="0"/>
          <w:bCs/>
          <w:sz w:val="22"/>
          <w:szCs w:val="22"/>
        </w:rPr>
      </w:pPr>
      <w:r>
        <w:rPr>
          <w:rFonts w:ascii="Trebuchet MS" w:hAnsi="Trebuchet MS"/>
          <w:b w:val="0"/>
          <w:bCs/>
          <w:sz w:val="22"/>
          <w:szCs w:val="22"/>
        </w:rPr>
        <w:t xml:space="preserve">                          Elevations                                                Location Plan</w:t>
      </w:r>
    </w:p>
    <w:p w:rsidR="00343D4D" w:rsidRPr="00907E02" w:rsidRDefault="00343D4D" w:rsidP="00343D4D">
      <w:pPr>
        <w:pStyle w:val="BodyText"/>
        <w:jc w:val="both"/>
        <w:rPr>
          <w:rFonts w:ascii="Trebuchet MS" w:hAnsi="Trebuchet MS"/>
          <w:b w:val="0"/>
          <w:bCs/>
          <w:sz w:val="22"/>
          <w:szCs w:val="22"/>
        </w:rPr>
      </w:pPr>
    </w:p>
    <w:p w:rsidR="00343D4D" w:rsidRPr="00907E02" w:rsidRDefault="00343D4D" w:rsidP="00343D4D">
      <w:pPr>
        <w:pStyle w:val="BodyText"/>
        <w:ind w:left="1080"/>
        <w:jc w:val="both"/>
        <w:rPr>
          <w:rFonts w:ascii="Trebuchet MS" w:hAnsi="Trebuchet MS"/>
          <w:b w:val="0"/>
          <w:bCs/>
          <w:sz w:val="22"/>
          <w:szCs w:val="22"/>
        </w:rPr>
      </w:pPr>
    </w:p>
    <w:p w:rsidR="002C6D4B" w:rsidRPr="00FF3B1B" w:rsidRDefault="002C6D4B" w:rsidP="00343D4D">
      <w:pPr>
        <w:pStyle w:val="BodyText"/>
        <w:jc w:val="both"/>
        <w:rPr>
          <w:rFonts w:ascii="Trebuchet MS" w:hAnsi="Trebuchet MS"/>
          <w:b w:val="0"/>
          <w:sz w:val="22"/>
          <w:szCs w:val="22"/>
        </w:rPr>
      </w:pPr>
    </w:p>
    <w:p w:rsidR="002C6D4B" w:rsidRPr="00FF3B1B" w:rsidRDefault="002C6D4B">
      <w:pPr>
        <w:numPr>
          <w:ilvl w:val="0"/>
          <w:numId w:val="24"/>
        </w:numPr>
        <w:ind w:hanging="720"/>
        <w:jc w:val="both"/>
        <w:rPr>
          <w:b/>
          <w:bCs/>
          <w:sz w:val="22"/>
          <w:szCs w:val="22"/>
        </w:rPr>
      </w:pPr>
      <w:r w:rsidRPr="00FF3B1B">
        <w:rPr>
          <w:b/>
          <w:bCs/>
          <w:sz w:val="22"/>
          <w:szCs w:val="22"/>
        </w:rPr>
        <w:t xml:space="preserve">RELEVANT PLANNING HISTORY </w:t>
      </w:r>
    </w:p>
    <w:p w:rsidR="002C6D4B" w:rsidRPr="00907E02" w:rsidRDefault="002C6D4B" w:rsidP="00343D4D">
      <w:pPr>
        <w:ind w:left="720"/>
        <w:jc w:val="both"/>
        <w:rPr>
          <w:b/>
          <w:bCs/>
          <w:sz w:val="22"/>
          <w:szCs w:val="22"/>
        </w:rPr>
      </w:pPr>
      <w:r w:rsidRPr="00907E02">
        <w:rPr>
          <w:b/>
          <w:bCs/>
          <w:sz w:val="22"/>
          <w:szCs w:val="22"/>
        </w:rPr>
        <w:t>Application No 200234</w:t>
      </w:r>
    </w:p>
    <w:p w:rsidR="002C6D4B" w:rsidRPr="00907E02" w:rsidRDefault="002C6D4B" w:rsidP="002C6D4B">
      <w:pPr>
        <w:ind w:left="720"/>
        <w:jc w:val="both"/>
        <w:rPr>
          <w:bCs/>
          <w:sz w:val="22"/>
          <w:szCs w:val="22"/>
        </w:rPr>
      </w:pPr>
      <w:r w:rsidRPr="00907E02">
        <w:rPr>
          <w:bCs/>
          <w:sz w:val="22"/>
          <w:szCs w:val="22"/>
        </w:rPr>
        <w:t>Proposal: Replacement sliding sash window to Listed Building</w:t>
      </w:r>
    </w:p>
    <w:p w:rsidR="002C6D4B" w:rsidRPr="00907E02" w:rsidRDefault="002C6D4B" w:rsidP="002C6D4B">
      <w:pPr>
        <w:ind w:left="720"/>
        <w:jc w:val="both"/>
        <w:rPr>
          <w:bCs/>
          <w:sz w:val="22"/>
          <w:szCs w:val="22"/>
        </w:rPr>
      </w:pPr>
      <w:r w:rsidRPr="00907E02">
        <w:rPr>
          <w:bCs/>
          <w:sz w:val="22"/>
          <w:szCs w:val="22"/>
        </w:rPr>
        <w:t>Decision: Application Permitted</w:t>
      </w:r>
    </w:p>
    <w:p w:rsidR="002C6D4B" w:rsidRPr="00907E02" w:rsidRDefault="002C6D4B" w:rsidP="002C6D4B">
      <w:pPr>
        <w:ind w:left="720"/>
        <w:jc w:val="both"/>
        <w:rPr>
          <w:bCs/>
          <w:sz w:val="22"/>
          <w:szCs w:val="22"/>
        </w:rPr>
      </w:pPr>
      <w:r w:rsidRPr="00907E02">
        <w:rPr>
          <w:bCs/>
          <w:sz w:val="22"/>
          <w:szCs w:val="22"/>
        </w:rPr>
        <w:t>Decision Date: 9</w:t>
      </w:r>
      <w:r w:rsidRPr="00907E02">
        <w:rPr>
          <w:bCs/>
          <w:sz w:val="22"/>
          <w:szCs w:val="22"/>
          <w:vertAlign w:val="superscript"/>
        </w:rPr>
        <w:t>th</w:t>
      </w:r>
      <w:r w:rsidRPr="00907E02">
        <w:rPr>
          <w:bCs/>
          <w:sz w:val="22"/>
          <w:szCs w:val="22"/>
        </w:rPr>
        <w:t xml:space="preserve"> April 2020</w:t>
      </w:r>
    </w:p>
    <w:p w:rsidR="002C6D4B" w:rsidRPr="00907E02" w:rsidRDefault="002C6D4B" w:rsidP="002C6D4B">
      <w:pPr>
        <w:ind w:left="720"/>
        <w:jc w:val="both"/>
        <w:rPr>
          <w:bCs/>
          <w:sz w:val="22"/>
          <w:szCs w:val="22"/>
        </w:rPr>
      </w:pPr>
    </w:p>
    <w:p w:rsidR="002C6D4B" w:rsidRPr="00907E02" w:rsidRDefault="002C6D4B" w:rsidP="002C6D4B">
      <w:pPr>
        <w:ind w:left="720"/>
        <w:jc w:val="both"/>
        <w:rPr>
          <w:bCs/>
          <w:sz w:val="22"/>
          <w:szCs w:val="22"/>
        </w:rPr>
      </w:pPr>
      <w:r w:rsidRPr="00907E02">
        <w:rPr>
          <w:bCs/>
          <w:sz w:val="22"/>
          <w:szCs w:val="22"/>
        </w:rPr>
        <w:t>Application No 120219</w:t>
      </w:r>
    </w:p>
    <w:p w:rsidR="002C6D4B" w:rsidRPr="00907E02" w:rsidRDefault="00343D4D" w:rsidP="002C6D4B">
      <w:pPr>
        <w:ind w:left="720"/>
        <w:jc w:val="both"/>
        <w:rPr>
          <w:bCs/>
          <w:sz w:val="22"/>
          <w:szCs w:val="22"/>
        </w:rPr>
      </w:pPr>
      <w:r>
        <w:rPr>
          <w:bCs/>
          <w:sz w:val="22"/>
          <w:szCs w:val="22"/>
        </w:rPr>
        <w:t xml:space="preserve">Proposal: </w:t>
      </w:r>
      <w:r w:rsidR="002C6D4B" w:rsidRPr="00907E02">
        <w:rPr>
          <w:bCs/>
          <w:sz w:val="22"/>
          <w:szCs w:val="22"/>
        </w:rPr>
        <w:t>Replacement of existing timber frame vertical sliding sash single glazed windows and external doors, with new timber frame vertical sliding sash double-glazed windows and external doors fitted into unaltered building structural openings.</w:t>
      </w:r>
    </w:p>
    <w:p w:rsidR="002C6D4B" w:rsidRPr="00907E02" w:rsidRDefault="002C6D4B" w:rsidP="002C6D4B">
      <w:pPr>
        <w:ind w:left="720"/>
        <w:jc w:val="both"/>
        <w:rPr>
          <w:bCs/>
          <w:sz w:val="22"/>
          <w:szCs w:val="22"/>
        </w:rPr>
      </w:pPr>
      <w:r w:rsidRPr="00907E02">
        <w:rPr>
          <w:bCs/>
          <w:sz w:val="22"/>
          <w:szCs w:val="22"/>
        </w:rPr>
        <w:t>Decision: Application Permitted</w:t>
      </w:r>
    </w:p>
    <w:p w:rsidR="002C6D4B" w:rsidRPr="00907E02" w:rsidRDefault="002C6D4B" w:rsidP="002C6D4B">
      <w:pPr>
        <w:ind w:left="720"/>
        <w:jc w:val="both"/>
        <w:rPr>
          <w:bCs/>
          <w:sz w:val="22"/>
          <w:szCs w:val="22"/>
        </w:rPr>
      </w:pPr>
      <w:r w:rsidRPr="00907E02">
        <w:rPr>
          <w:bCs/>
          <w:sz w:val="22"/>
          <w:szCs w:val="22"/>
        </w:rPr>
        <w:t>Decision Date: 22</w:t>
      </w:r>
      <w:r w:rsidRPr="00907E02">
        <w:rPr>
          <w:bCs/>
          <w:sz w:val="22"/>
          <w:szCs w:val="22"/>
          <w:vertAlign w:val="superscript"/>
        </w:rPr>
        <w:t>nd</w:t>
      </w:r>
      <w:r w:rsidRPr="00907E02">
        <w:rPr>
          <w:bCs/>
          <w:sz w:val="22"/>
          <w:szCs w:val="22"/>
        </w:rPr>
        <w:t xml:space="preserve"> August 2012</w:t>
      </w:r>
    </w:p>
    <w:p w:rsidR="002C6D4B" w:rsidRPr="00FF3B1B" w:rsidRDefault="002C6D4B" w:rsidP="002C6D4B">
      <w:pPr>
        <w:jc w:val="both"/>
        <w:rPr>
          <w:b/>
          <w:bCs/>
          <w:sz w:val="22"/>
          <w:szCs w:val="22"/>
        </w:rPr>
      </w:pPr>
    </w:p>
    <w:p w:rsidR="002C6D4B" w:rsidRPr="00FF3B1B" w:rsidRDefault="002C6D4B">
      <w:pPr>
        <w:jc w:val="both"/>
        <w:rPr>
          <w:b/>
          <w:bCs/>
          <w:sz w:val="22"/>
          <w:szCs w:val="22"/>
        </w:rPr>
      </w:pPr>
      <w:r w:rsidRPr="00FF3B1B">
        <w:rPr>
          <w:b/>
          <w:bCs/>
          <w:sz w:val="22"/>
          <w:szCs w:val="22"/>
        </w:rPr>
        <w:t>4.</w:t>
      </w:r>
      <w:r w:rsidRPr="00FF3B1B">
        <w:rPr>
          <w:b/>
          <w:bCs/>
          <w:sz w:val="22"/>
          <w:szCs w:val="22"/>
        </w:rPr>
        <w:tab/>
        <w:t>CONSULTATIONS</w:t>
      </w:r>
    </w:p>
    <w:p w:rsidR="002C6D4B" w:rsidRPr="00FF3B1B" w:rsidRDefault="002C6D4B">
      <w:pPr>
        <w:jc w:val="both"/>
        <w:rPr>
          <w:b/>
          <w:bCs/>
          <w:sz w:val="22"/>
          <w:szCs w:val="22"/>
        </w:rPr>
      </w:pPr>
    </w:p>
    <w:p w:rsidR="002C6D4B" w:rsidRDefault="002C6D4B" w:rsidP="002C6D4B">
      <w:pPr>
        <w:ind w:left="720"/>
        <w:jc w:val="both"/>
        <w:rPr>
          <w:sz w:val="22"/>
          <w:szCs w:val="22"/>
        </w:rPr>
      </w:pPr>
      <w:r w:rsidRPr="00FF3B1B">
        <w:rPr>
          <w:sz w:val="22"/>
          <w:szCs w:val="22"/>
        </w:rPr>
        <w:t>The following addresses were consulted by letter.</w:t>
      </w:r>
    </w:p>
    <w:p w:rsidR="002C6D4B" w:rsidRPr="00FF3B1B" w:rsidRDefault="002C6D4B" w:rsidP="002C6D4B">
      <w:pPr>
        <w:ind w:left="720"/>
        <w:jc w:val="both"/>
        <w:rPr>
          <w:b/>
          <w:sz w:val="22"/>
          <w:szCs w:val="22"/>
        </w:rPr>
      </w:pPr>
    </w:p>
    <w:p w:rsidR="002C6D4B" w:rsidRPr="00FF3B1B" w:rsidRDefault="002C6D4B" w:rsidP="002C6D4B">
      <w:pPr>
        <w:ind w:left="720"/>
        <w:rPr>
          <w:sz w:val="22"/>
          <w:szCs w:val="22"/>
        </w:rPr>
      </w:pPr>
      <w:r w:rsidRPr="00FF3B1B">
        <w:rPr>
          <w:sz w:val="22"/>
          <w:szCs w:val="22"/>
        </w:rPr>
        <w:t>21 Arbour Close, Reading, RG1 6EW</w:t>
      </w:r>
    </w:p>
    <w:p w:rsidR="002C6D4B" w:rsidRPr="00FF3B1B" w:rsidRDefault="002C6D4B" w:rsidP="002C6D4B">
      <w:pPr>
        <w:ind w:left="720"/>
        <w:rPr>
          <w:sz w:val="22"/>
          <w:szCs w:val="22"/>
        </w:rPr>
      </w:pPr>
      <w:r>
        <w:rPr>
          <w:sz w:val="22"/>
          <w:szCs w:val="22"/>
        </w:rPr>
        <w:t>23 Arbour Close, Reading, RG1 6EW</w:t>
      </w:r>
    </w:p>
    <w:p w:rsidR="002C6D4B" w:rsidRPr="00FF3B1B" w:rsidRDefault="002C6D4B" w:rsidP="002C6D4B">
      <w:pPr>
        <w:ind w:left="720"/>
        <w:rPr>
          <w:sz w:val="22"/>
          <w:szCs w:val="22"/>
        </w:rPr>
      </w:pPr>
      <w:r w:rsidRPr="00FF3B1B">
        <w:rPr>
          <w:sz w:val="22"/>
          <w:szCs w:val="22"/>
        </w:rPr>
        <w:t>27 Arbour Close, Reading, RG1 6EW</w:t>
      </w:r>
    </w:p>
    <w:p w:rsidR="002C6D4B" w:rsidRPr="00FF3B1B" w:rsidRDefault="002C6D4B" w:rsidP="002C6D4B">
      <w:pPr>
        <w:ind w:left="720"/>
        <w:rPr>
          <w:sz w:val="22"/>
          <w:szCs w:val="22"/>
        </w:rPr>
      </w:pPr>
      <w:r w:rsidRPr="00FF3B1B">
        <w:rPr>
          <w:sz w:val="22"/>
          <w:szCs w:val="22"/>
        </w:rPr>
        <w:t>29 Arbour Close, Reading, RG1 6EW</w:t>
      </w:r>
    </w:p>
    <w:p w:rsidR="002C6D4B" w:rsidRPr="00FF3B1B" w:rsidRDefault="002C6D4B" w:rsidP="002C6D4B">
      <w:pPr>
        <w:ind w:left="1440" w:hanging="720"/>
        <w:jc w:val="both"/>
        <w:rPr>
          <w:sz w:val="22"/>
          <w:szCs w:val="22"/>
        </w:rPr>
      </w:pPr>
    </w:p>
    <w:p w:rsidR="002C6D4B" w:rsidRDefault="002C6D4B" w:rsidP="002C6D4B">
      <w:pPr>
        <w:ind w:left="1440" w:hanging="720"/>
        <w:jc w:val="both"/>
        <w:rPr>
          <w:sz w:val="22"/>
          <w:szCs w:val="22"/>
        </w:rPr>
      </w:pPr>
      <w:r>
        <w:rPr>
          <w:sz w:val="22"/>
          <w:szCs w:val="22"/>
        </w:rPr>
        <w:t>No l</w:t>
      </w:r>
      <w:r w:rsidRPr="00FF3B1B">
        <w:rPr>
          <w:sz w:val="22"/>
          <w:szCs w:val="22"/>
        </w:rPr>
        <w:t>etters of representation have been received</w:t>
      </w:r>
      <w:r>
        <w:rPr>
          <w:sz w:val="22"/>
          <w:szCs w:val="22"/>
        </w:rPr>
        <w:t>.</w:t>
      </w:r>
    </w:p>
    <w:p w:rsidR="00343D4D" w:rsidRDefault="00343D4D" w:rsidP="002C6D4B">
      <w:pPr>
        <w:ind w:left="1440" w:hanging="720"/>
        <w:jc w:val="both"/>
        <w:rPr>
          <w:sz w:val="22"/>
          <w:szCs w:val="22"/>
        </w:rPr>
      </w:pPr>
    </w:p>
    <w:p w:rsidR="00343D4D" w:rsidRDefault="00343D4D" w:rsidP="00343D4D">
      <w:pPr>
        <w:pStyle w:val="ListParagraph"/>
        <w:rPr>
          <w:i/>
          <w:sz w:val="22"/>
          <w:szCs w:val="22"/>
        </w:rPr>
      </w:pPr>
      <w:r>
        <w:rPr>
          <w:sz w:val="22"/>
          <w:szCs w:val="22"/>
        </w:rPr>
        <w:t>Heritage Advice</w:t>
      </w:r>
    </w:p>
    <w:p w:rsidR="00343D4D" w:rsidRDefault="00343D4D" w:rsidP="00343D4D">
      <w:pPr>
        <w:pStyle w:val="ListParagraph"/>
        <w:rPr>
          <w:i/>
          <w:sz w:val="22"/>
          <w:szCs w:val="22"/>
        </w:rPr>
      </w:pPr>
    </w:p>
    <w:p w:rsidR="00343D4D" w:rsidRPr="00DE4637" w:rsidRDefault="00343D4D" w:rsidP="00343D4D">
      <w:pPr>
        <w:pStyle w:val="ListParagraph"/>
        <w:rPr>
          <w:sz w:val="22"/>
          <w:szCs w:val="22"/>
        </w:rPr>
      </w:pPr>
      <w:r>
        <w:rPr>
          <w:sz w:val="22"/>
          <w:szCs w:val="22"/>
        </w:rPr>
        <w:t>A site visit was conducted on 30</w:t>
      </w:r>
      <w:r w:rsidRPr="00C2412C">
        <w:rPr>
          <w:sz w:val="22"/>
          <w:szCs w:val="22"/>
          <w:vertAlign w:val="superscript"/>
        </w:rPr>
        <w:t>th</w:t>
      </w:r>
      <w:r>
        <w:rPr>
          <w:sz w:val="22"/>
          <w:szCs w:val="22"/>
        </w:rPr>
        <w:t xml:space="preserve"> August 2022 by the Planning Officer and the Heritage consultant and the subsequent windows schedule requested has been provided by the agent and is saved in I@W and cited in the conditions on the decision notice.</w:t>
      </w:r>
    </w:p>
    <w:p w:rsidR="00343D4D" w:rsidRDefault="00343D4D" w:rsidP="00343D4D">
      <w:pPr>
        <w:jc w:val="both"/>
        <w:rPr>
          <w:sz w:val="22"/>
          <w:szCs w:val="22"/>
        </w:rPr>
      </w:pPr>
    </w:p>
    <w:p w:rsidR="002C6D4B" w:rsidRDefault="002C6D4B" w:rsidP="002C6D4B">
      <w:pPr>
        <w:jc w:val="both"/>
        <w:rPr>
          <w:sz w:val="22"/>
          <w:szCs w:val="22"/>
        </w:rPr>
      </w:pPr>
    </w:p>
    <w:p w:rsidR="002C6D4B" w:rsidRPr="00343D4D" w:rsidRDefault="00027374" w:rsidP="00027374">
      <w:pPr>
        <w:numPr>
          <w:ilvl w:val="0"/>
          <w:numId w:val="39"/>
        </w:numPr>
        <w:overflowPunct/>
        <w:adjustRightInd/>
        <w:jc w:val="both"/>
        <w:textAlignment w:val="auto"/>
        <w:rPr>
          <w:rFonts w:cs="Arial"/>
          <w:b/>
          <w:bCs/>
          <w:color w:val="000000"/>
          <w:sz w:val="22"/>
          <w:szCs w:val="22"/>
          <w:lang w:eastAsia="en-GB"/>
        </w:rPr>
      </w:pPr>
      <w:r>
        <w:rPr>
          <w:rFonts w:cs="Arial"/>
          <w:b/>
          <w:bCs/>
          <w:color w:val="000000"/>
          <w:sz w:val="22"/>
          <w:szCs w:val="22"/>
          <w:lang w:eastAsia="en-GB"/>
        </w:rPr>
        <w:t xml:space="preserve">   </w:t>
      </w:r>
      <w:r w:rsidR="002C6D4B" w:rsidRPr="00343D4D">
        <w:rPr>
          <w:rFonts w:cs="Arial"/>
          <w:b/>
          <w:bCs/>
          <w:color w:val="000000"/>
          <w:sz w:val="22"/>
          <w:szCs w:val="22"/>
          <w:lang w:eastAsia="en-GB"/>
        </w:rPr>
        <w:t>Equality Act 2010:</w:t>
      </w:r>
    </w:p>
    <w:p w:rsidR="002C6D4B" w:rsidRPr="00343D4D" w:rsidRDefault="002C6D4B" w:rsidP="00343D4D">
      <w:pPr>
        <w:overflowPunct/>
        <w:adjustRightInd/>
        <w:ind w:left="720"/>
        <w:jc w:val="both"/>
        <w:textAlignment w:val="auto"/>
        <w:rPr>
          <w:rFonts w:cs="Arial"/>
          <w:bCs/>
          <w:color w:val="000000"/>
          <w:sz w:val="22"/>
          <w:szCs w:val="22"/>
          <w:lang w:eastAsia="en-GB"/>
        </w:rPr>
      </w:pPr>
      <w:r w:rsidRPr="00343D4D">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2C6D4B" w:rsidRPr="00FF3B1B" w:rsidRDefault="002C6D4B">
      <w:pPr>
        <w:ind w:left="720" w:hanging="720"/>
        <w:jc w:val="both"/>
        <w:rPr>
          <w:sz w:val="22"/>
          <w:szCs w:val="22"/>
        </w:rPr>
      </w:pPr>
    </w:p>
    <w:p w:rsidR="002C6D4B" w:rsidRPr="00FF3B1B" w:rsidRDefault="00027374" w:rsidP="00027374">
      <w:pPr>
        <w:jc w:val="both"/>
        <w:rPr>
          <w:b/>
          <w:bCs/>
          <w:sz w:val="22"/>
          <w:szCs w:val="22"/>
          <w:lang w:eastAsia="en-GB"/>
        </w:rPr>
      </w:pPr>
      <w:r>
        <w:rPr>
          <w:b/>
          <w:bCs/>
          <w:sz w:val="22"/>
          <w:szCs w:val="22"/>
          <w:lang w:eastAsia="en-GB"/>
        </w:rPr>
        <w:t>6.</w:t>
      </w:r>
      <w:r w:rsidR="00343D4D">
        <w:rPr>
          <w:b/>
          <w:bCs/>
          <w:sz w:val="22"/>
          <w:szCs w:val="22"/>
          <w:lang w:eastAsia="en-GB"/>
        </w:rPr>
        <w:t xml:space="preserve">      </w:t>
      </w:r>
      <w:r>
        <w:rPr>
          <w:b/>
          <w:bCs/>
          <w:sz w:val="22"/>
          <w:szCs w:val="22"/>
          <w:lang w:eastAsia="en-GB"/>
        </w:rPr>
        <w:t xml:space="preserve">  </w:t>
      </w:r>
      <w:r w:rsidR="002C6D4B" w:rsidRPr="00FF3B1B">
        <w:rPr>
          <w:b/>
          <w:bCs/>
          <w:sz w:val="22"/>
          <w:szCs w:val="22"/>
          <w:lang w:eastAsia="en-GB"/>
        </w:rPr>
        <w:t>LEGAL AND PLANNING POLICY CONTEXT</w:t>
      </w:r>
    </w:p>
    <w:p w:rsidR="002C6D4B" w:rsidRPr="00FF3B1B" w:rsidRDefault="002C6D4B" w:rsidP="002C6D4B">
      <w:pPr>
        <w:ind w:left="720"/>
        <w:jc w:val="both"/>
        <w:rPr>
          <w:bCs/>
          <w:sz w:val="22"/>
          <w:szCs w:val="22"/>
          <w:lang w:eastAsia="en-GB"/>
        </w:rPr>
      </w:pPr>
    </w:p>
    <w:p w:rsidR="002C6D4B" w:rsidRPr="00FF3B1B" w:rsidRDefault="002C6D4B" w:rsidP="00343D4D">
      <w:pPr>
        <w:ind w:left="720"/>
        <w:jc w:val="both"/>
        <w:rPr>
          <w:sz w:val="22"/>
          <w:szCs w:val="22"/>
        </w:rPr>
      </w:pPr>
      <w:r w:rsidRPr="00FF3B1B">
        <w:rPr>
          <w:sz w:val="22"/>
          <w:szCs w:val="22"/>
        </w:rPr>
        <w:t xml:space="preserve">Section 38(6) of the Planning and Compulsory Purchase Act 2004 requires that proposals be determined in accordance with the development plan unless material considerations </w:t>
      </w:r>
      <w:r w:rsidRPr="00FF3B1B">
        <w:rPr>
          <w:sz w:val="22"/>
          <w:szCs w:val="22"/>
        </w:rPr>
        <w:lastRenderedPageBreak/>
        <w:t>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2C6D4B" w:rsidRDefault="002C6D4B" w:rsidP="00343D4D">
      <w:pPr>
        <w:ind w:left="360"/>
        <w:jc w:val="both"/>
        <w:rPr>
          <w:rFonts w:cs="TrebuchetMS"/>
          <w:sz w:val="22"/>
          <w:szCs w:val="22"/>
          <w:highlight w:val="yellow"/>
          <w:lang w:eastAsia="en-GB"/>
        </w:rPr>
      </w:pPr>
    </w:p>
    <w:p w:rsidR="002C6D4B" w:rsidRPr="00343D4D" w:rsidRDefault="002C6D4B" w:rsidP="00343D4D">
      <w:pPr>
        <w:ind w:left="720"/>
        <w:jc w:val="both"/>
        <w:rPr>
          <w:rFonts w:cs="TrebuchetMS"/>
          <w:sz w:val="22"/>
          <w:szCs w:val="22"/>
          <w:lang w:eastAsia="en-GB"/>
        </w:rPr>
      </w:pPr>
      <w:r w:rsidRPr="00343D4D">
        <w:rPr>
          <w:rFonts w:cs="TrebuchetMS"/>
          <w:sz w:val="22"/>
          <w:szCs w:val="22"/>
          <w:lang w:eastAsia="en-GB"/>
        </w:rPr>
        <w:t>Section 16(2) of the Planning (Listed Buildings and Conservation Areas) Act 1990 requires the local planning authority to have special regard to the desirability of preserving a listed building or its setting or any features of special interest which it possesses.</w:t>
      </w:r>
    </w:p>
    <w:p w:rsidR="002C6D4B" w:rsidRPr="00343D4D" w:rsidRDefault="002C6D4B" w:rsidP="00343D4D">
      <w:pPr>
        <w:ind w:left="720"/>
        <w:jc w:val="both"/>
        <w:rPr>
          <w:rFonts w:cs="TrebuchetMS"/>
          <w:sz w:val="22"/>
          <w:szCs w:val="22"/>
          <w:lang w:eastAsia="en-GB"/>
        </w:rPr>
      </w:pPr>
    </w:p>
    <w:p w:rsidR="002C6D4B" w:rsidRPr="003E3680" w:rsidRDefault="002C6D4B" w:rsidP="00343D4D">
      <w:pPr>
        <w:ind w:left="720"/>
        <w:jc w:val="both"/>
        <w:rPr>
          <w:rFonts w:cs="Trebuchet MS"/>
          <w:bCs/>
          <w:sz w:val="22"/>
          <w:szCs w:val="22"/>
        </w:rPr>
      </w:pPr>
      <w:r w:rsidRPr="00343D4D">
        <w:rPr>
          <w:rFonts w:cs="TrebuchetMS"/>
          <w:sz w:val="22"/>
          <w:szCs w:val="22"/>
          <w:lang w:eastAsia="en-GB"/>
        </w:rPr>
        <w:t>Section 72 (1) of the Planning (Listed Buildings and Conservation Areas) Act 1990 requires the local planning authority in the exercise of its functions to pay special attention to the desirability of preserving or enhancing the character or appearance of a conservation area.</w:t>
      </w:r>
    </w:p>
    <w:p w:rsidR="002C6D4B" w:rsidRPr="00FF3B1B" w:rsidRDefault="002C6D4B" w:rsidP="002C6D4B">
      <w:pPr>
        <w:jc w:val="both"/>
        <w:rPr>
          <w:b/>
          <w:bCs/>
          <w:sz w:val="22"/>
          <w:szCs w:val="22"/>
          <w:lang w:eastAsia="en-GB"/>
        </w:rPr>
      </w:pPr>
    </w:p>
    <w:p w:rsidR="00343D4D" w:rsidRPr="00907E02" w:rsidRDefault="00343D4D" w:rsidP="00343D4D">
      <w:pPr>
        <w:ind w:left="720"/>
        <w:jc w:val="both"/>
        <w:rPr>
          <w:sz w:val="22"/>
          <w:szCs w:val="22"/>
        </w:rPr>
      </w:pPr>
      <w:r w:rsidRPr="00907E02">
        <w:rPr>
          <w:sz w:val="22"/>
          <w:szCs w:val="22"/>
        </w:rPr>
        <w:t>The following local and national planning policy and guidance is relevant to this application:</w:t>
      </w:r>
    </w:p>
    <w:p w:rsidR="00343D4D" w:rsidRPr="00907E02" w:rsidRDefault="00343D4D" w:rsidP="00343D4D">
      <w:pPr>
        <w:jc w:val="both"/>
        <w:rPr>
          <w:b/>
          <w:bCs/>
          <w:sz w:val="22"/>
          <w:szCs w:val="22"/>
          <w:lang w:eastAsia="en-GB"/>
        </w:rPr>
      </w:pPr>
    </w:p>
    <w:p w:rsidR="00343D4D" w:rsidRPr="00907E02" w:rsidRDefault="00343D4D" w:rsidP="00343D4D">
      <w:pPr>
        <w:ind w:left="720"/>
        <w:jc w:val="both"/>
        <w:rPr>
          <w:b/>
          <w:bCs/>
          <w:sz w:val="22"/>
          <w:szCs w:val="22"/>
          <w:u w:val="single"/>
          <w:lang w:eastAsia="en-GB"/>
        </w:rPr>
      </w:pPr>
      <w:r w:rsidRPr="00907E02">
        <w:rPr>
          <w:b/>
          <w:bCs/>
          <w:sz w:val="22"/>
          <w:szCs w:val="22"/>
          <w:u w:val="single"/>
          <w:lang w:eastAsia="en-GB"/>
        </w:rPr>
        <w:t>National Policy</w:t>
      </w:r>
    </w:p>
    <w:p w:rsidR="00343D4D" w:rsidRPr="00907E02" w:rsidRDefault="00343D4D" w:rsidP="00343D4D">
      <w:pPr>
        <w:ind w:left="720"/>
        <w:jc w:val="both"/>
        <w:rPr>
          <w:bCs/>
          <w:sz w:val="22"/>
          <w:szCs w:val="22"/>
          <w:lang w:eastAsia="en-GB"/>
        </w:rPr>
      </w:pPr>
      <w:r w:rsidRPr="00907E02">
        <w:rPr>
          <w:bCs/>
          <w:sz w:val="22"/>
          <w:szCs w:val="22"/>
          <w:lang w:eastAsia="en-GB"/>
        </w:rPr>
        <w:t xml:space="preserve">National Planning Policy Framework </w:t>
      </w:r>
    </w:p>
    <w:p w:rsidR="00343D4D" w:rsidRPr="00907E02" w:rsidRDefault="00343D4D" w:rsidP="00343D4D">
      <w:pPr>
        <w:ind w:left="720"/>
        <w:jc w:val="both"/>
        <w:rPr>
          <w:bCs/>
          <w:sz w:val="22"/>
          <w:szCs w:val="22"/>
          <w:lang w:eastAsia="en-GB"/>
        </w:rPr>
      </w:pPr>
      <w:r w:rsidRPr="00907E02">
        <w:rPr>
          <w:bCs/>
          <w:sz w:val="22"/>
          <w:szCs w:val="22"/>
          <w:lang w:eastAsia="en-GB"/>
        </w:rPr>
        <w:t>National Planning Practice Guidance</w:t>
      </w:r>
    </w:p>
    <w:p w:rsidR="00343D4D" w:rsidRPr="00907E02" w:rsidRDefault="00343D4D" w:rsidP="00343D4D">
      <w:pPr>
        <w:ind w:left="720"/>
        <w:jc w:val="both"/>
        <w:rPr>
          <w:bCs/>
          <w:sz w:val="22"/>
          <w:szCs w:val="22"/>
          <w:lang w:eastAsia="en-GB"/>
        </w:rPr>
      </w:pPr>
    </w:p>
    <w:p w:rsidR="00343D4D" w:rsidRPr="00907E02" w:rsidRDefault="00343D4D" w:rsidP="00343D4D">
      <w:pPr>
        <w:ind w:left="720"/>
        <w:jc w:val="both"/>
        <w:rPr>
          <w:b/>
          <w:bCs/>
          <w:sz w:val="22"/>
          <w:szCs w:val="22"/>
          <w:u w:val="single"/>
          <w:lang w:eastAsia="en-GB"/>
        </w:rPr>
      </w:pPr>
      <w:r w:rsidRPr="00907E02">
        <w:rPr>
          <w:b/>
          <w:bCs/>
          <w:sz w:val="22"/>
          <w:szCs w:val="22"/>
          <w:u w:val="single"/>
          <w:lang w:eastAsia="en-GB"/>
        </w:rPr>
        <w:t>Reading Borough Local Plan (Adopted November 2019)</w:t>
      </w:r>
    </w:p>
    <w:p w:rsidR="00343D4D" w:rsidRPr="00907E02" w:rsidRDefault="00343D4D" w:rsidP="00343D4D">
      <w:pPr>
        <w:ind w:left="720"/>
        <w:jc w:val="both"/>
        <w:rPr>
          <w:bCs/>
          <w:sz w:val="22"/>
          <w:szCs w:val="22"/>
          <w:lang w:eastAsia="en-GB"/>
        </w:rPr>
      </w:pPr>
      <w:r w:rsidRPr="00907E02">
        <w:rPr>
          <w:bCs/>
          <w:sz w:val="22"/>
          <w:szCs w:val="22"/>
          <w:lang w:eastAsia="en-GB"/>
        </w:rPr>
        <w:t>EN1 Protection and Enhancement of the Historic Environment</w:t>
      </w:r>
    </w:p>
    <w:p w:rsidR="00343D4D" w:rsidRPr="00907E02" w:rsidRDefault="00343D4D" w:rsidP="00343D4D">
      <w:pPr>
        <w:ind w:left="720"/>
        <w:jc w:val="both"/>
        <w:rPr>
          <w:bCs/>
          <w:sz w:val="22"/>
          <w:szCs w:val="22"/>
          <w:lang w:eastAsia="en-GB"/>
        </w:rPr>
      </w:pPr>
      <w:r w:rsidRPr="00907E02">
        <w:rPr>
          <w:bCs/>
          <w:sz w:val="22"/>
          <w:szCs w:val="22"/>
          <w:lang w:eastAsia="en-GB"/>
        </w:rPr>
        <w:t>CC8 Safeguarding Amenity</w:t>
      </w:r>
    </w:p>
    <w:p w:rsidR="002C6D4B" w:rsidRPr="00917B3D" w:rsidRDefault="002C6D4B" w:rsidP="00343D4D">
      <w:pPr>
        <w:ind w:left="360"/>
        <w:jc w:val="both"/>
        <w:rPr>
          <w:bCs/>
          <w:sz w:val="22"/>
          <w:szCs w:val="22"/>
        </w:rPr>
      </w:pPr>
    </w:p>
    <w:p w:rsidR="002C6D4B" w:rsidRPr="00027374" w:rsidRDefault="002C6D4B" w:rsidP="00027374">
      <w:pPr>
        <w:ind w:left="720"/>
        <w:jc w:val="both"/>
        <w:rPr>
          <w:b/>
          <w:bCs/>
          <w:sz w:val="22"/>
          <w:szCs w:val="22"/>
          <w:u w:val="single"/>
          <w:lang w:eastAsia="en-GB"/>
        </w:rPr>
      </w:pPr>
      <w:r w:rsidRPr="00027374">
        <w:rPr>
          <w:b/>
          <w:bCs/>
          <w:sz w:val="22"/>
          <w:szCs w:val="22"/>
          <w:u w:val="single"/>
          <w:lang w:eastAsia="en-GB"/>
        </w:rPr>
        <w:t>SPD</w:t>
      </w:r>
    </w:p>
    <w:p w:rsidR="002C6D4B" w:rsidRPr="006D3285" w:rsidRDefault="002C6D4B" w:rsidP="00027374">
      <w:pPr>
        <w:ind w:left="720"/>
        <w:jc w:val="both"/>
        <w:rPr>
          <w:sz w:val="22"/>
          <w:szCs w:val="22"/>
        </w:rPr>
      </w:pPr>
      <w:r w:rsidRPr="00027374">
        <w:rPr>
          <w:sz w:val="22"/>
          <w:szCs w:val="22"/>
        </w:rPr>
        <w:t>Relevant Conservation Area Appraisal</w:t>
      </w:r>
    </w:p>
    <w:p w:rsidR="002C6D4B" w:rsidRPr="00FF3B1B" w:rsidRDefault="002C6D4B" w:rsidP="002C6D4B">
      <w:pPr>
        <w:overflowPunct/>
        <w:autoSpaceDE/>
        <w:autoSpaceDN/>
        <w:adjustRightInd/>
        <w:ind w:left="720"/>
        <w:textAlignment w:val="auto"/>
        <w:rPr>
          <w:sz w:val="22"/>
          <w:szCs w:val="22"/>
        </w:rPr>
      </w:pPr>
    </w:p>
    <w:p w:rsidR="002C6D4B" w:rsidRPr="00FF3B1B" w:rsidRDefault="002C6D4B">
      <w:pPr>
        <w:jc w:val="both"/>
        <w:rPr>
          <w:b/>
          <w:bCs/>
          <w:sz w:val="22"/>
          <w:szCs w:val="22"/>
        </w:rPr>
      </w:pPr>
    </w:p>
    <w:p w:rsidR="002C6D4B" w:rsidRPr="00FF3B1B" w:rsidRDefault="00027374">
      <w:pPr>
        <w:jc w:val="both"/>
        <w:rPr>
          <w:b/>
          <w:bCs/>
          <w:sz w:val="22"/>
          <w:szCs w:val="22"/>
        </w:rPr>
      </w:pPr>
      <w:r>
        <w:rPr>
          <w:b/>
          <w:bCs/>
          <w:sz w:val="22"/>
          <w:szCs w:val="22"/>
        </w:rPr>
        <w:t>7</w:t>
      </w:r>
      <w:r w:rsidR="002C6D4B" w:rsidRPr="00FF3B1B">
        <w:rPr>
          <w:b/>
          <w:bCs/>
          <w:sz w:val="22"/>
          <w:szCs w:val="22"/>
        </w:rPr>
        <w:t>.</w:t>
      </w:r>
      <w:r w:rsidR="002C6D4B" w:rsidRPr="00FF3B1B">
        <w:rPr>
          <w:b/>
          <w:bCs/>
          <w:sz w:val="22"/>
          <w:szCs w:val="22"/>
        </w:rPr>
        <w:tab/>
        <w:t>APPRAISAL</w:t>
      </w:r>
    </w:p>
    <w:p w:rsidR="00027374" w:rsidRPr="00907E02" w:rsidRDefault="00027374" w:rsidP="00027374">
      <w:pPr>
        <w:jc w:val="both"/>
        <w:rPr>
          <w:sz w:val="22"/>
          <w:szCs w:val="22"/>
          <w:lang w:eastAsia="en-GB"/>
        </w:rPr>
      </w:pPr>
    </w:p>
    <w:p w:rsidR="00027374" w:rsidRPr="00907E02" w:rsidRDefault="00027374" w:rsidP="00027374">
      <w:pPr>
        <w:pStyle w:val="Heading2"/>
        <w:ind w:left="720"/>
        <w:rPr>
          <w:rFonts w:ascii="Trebuchet MS" w:hAnsi="Trebuchet MS"/>
          <w:sz w:val="22"/>
          <w:szCs w:val="22"/>
          <w:lang w:eastAsia="en-GB"/>
        </w:rPr>
      </w:pPr>
      <w:r w:rsidRPr="00907E02">
        <w:rPr>
          <w:rFonts w:ascii="Trebuchet MS" w:hAnsi="Trebuchet MS"/>
          <w:sz w:val="22"/>
          <w:szCs w:val="22"/>
          <w:lang w:eastAsia="en-GB"/>
        </w:rPr>
        <w:t xml:space="preserve">7.1 </w:t>
      </w:r>
      <w:r w:rsidRPr="00907E02">
        <w:rPr>
          <w:rFonts w:ascii="Trebuchet MS" w:hAnsi="Trebuchet MS"/>
          <w:bCs/>
          <w:sz w:val="22"/>
          <w:szCs w:val="22"/>
          <w:lang w:eastAsia="en-GB"/>
        </w:rPr>
        <w:t>Protection and Enhancement of the Historic Environment</w:t>
      </w:r>
    </w:p>
    <w:p w:rsidR="00027374" w:rsidRPr="00907E02" w:rsidRDefault="00027374" w:rsidP="00027374">
      <w:pPr>
        <w:ind w:left="720"/>
        <w:rPr>
          <w:sz w:val="22"/>
          <w:szCs w:val="22"/>
          <w:lang w:eastAsia="en-GB"/>
        </w:rPr>
      </w:pPr>
    </w:p>
    <w:p w:rsidR="00027374" w:rsidRPr="00907E02" w:rsidRDefault="00027374" w:rsidP="00027374">
      <w:pPr>
        <w:ind w:left="720"/>
        <w:jc w:val="both"/>
        <w:rPr>
          <w:sz w:val="22"/>
          <w:szCs w:val="22"/>
          <w:lang w:eastAsia="en-GB"/>
        </w:rPr>
      </w:pPr>
      <w:r w:rsidRPr="00907E02">
        <w:rPr>
          <w:sz w:val="22"/>
          <w:szCs w:val="22"/>
          <w:lang w:eastAsia="en-GB"/>
        </w:rPr>
        <w:t>In accordance with Reading Borough Local Plan policy EN1: Protection and Enhancement of the Historic Environment, proposals affecting Listed Buildings are acceptable where it will not:</w:t>
      </w:r>
    </w:p>
    <w:p w:rsidR="00027374" w:rsidRPr="00907E02" w:rsidRDefault="00027374" w:rsidP="00027374">
      <w:pPr>
        <w:ind w:left="720"/>
        <w:jc w:val="both"/>
        <w:rPr>
          <w:sz w:val="22"/>
          <w:szCs w:val="22"/>
          <w:lang w:eastAsia="en-GB"/>
        </w:rPr>
      </w:pPr>
    </w:p>
    <w:p w:rsidR="00027374" w:rsidRPr="00907E02" w:rsidRDefault="00027374" w:rsidP="00027374">
      <w:pPr>
        <w:pStyle w:val="ListParagraph"/>
        <w:numPr>
          <w:ilvl w:val="0"/>
          <w:numId w:val="36"/>
        </w:numPr>
        <w:ind w:left="1080"/>
        <w:jc w:val="both"/>
        <w:rPr>
          <w:i/>
          <w:sz w:val="22"/>
          <w:szCs w:val="22"/>
          <w:lang w:eastAsia="en-GB"/>
        </w:rPr>
      </w:pPr>
      <w:r w:rsidRPr="00907E02">
        <w:rPr>
          <w:i/>
          <w:sz w:val="22"/>
          <w:szCs w:val="22"/>
          <w:lang w:eastAsia="en-GB"/>
        </w:rPr>
        <w:t>Have an adverse impact on those elements which contribute to their special architectural or historic interest including, where appropriate, their setting.</w:t>
      </w:r>
    </w:p>
    <w:p w:rsidR="00027374" w:rsidRPr="00244353" w:rsidRDefault="00027374" w:rsidP="00027374">
      <w:pPr>
        <w:pStyle w:val="ListParagraph"/>
        <w:numPr>
          <w:ilvl w:val="0"/>
          <w:numId w:val="36"/>
        </w:numPr>
        <w:ind w:left="1080"/>
        <w:jc w:val="both"/>
        <w:rPr>
          <w:i/>
          <w:sz w:val="22"/>
          <w:szCs w:val="22"/>
          <w:lang w:eastAsia="en-GB"/>
        </w:rPr>
      </w:pPr>
      <w:r w:rsidRPr="00244353">
        <w:rPr>
          <w:sz w:val="22"/>
          <w:szCs w:val="22"/>
          <w:lang w:eastAsia="en-GB"/>
        </w:rPr>
        <w:t xml:space="preserve">The proposed </w:t>
      </w:r>
      <w:r w:rsidRPr="00244353">
        <w:rPr>
          <w:rFonts w:cs="Trebuchet MS"/>
          <w:sz w:val="22"/>
          <w:szCs w:val="22"/>
        </w:rPr>
        <w:t>replacement of all timber sash and casement windows and rear glazed door set with timber double glazed windows / doors to match existing style</w:t>
      </w:r>
      <w:r w:rsidRPr="00244353">
        <w:rPr>
          <w:sz w:val="22"/>
          <w:szCs w:val="22"/>
          <w:lang w:eastAsia="en-GB"/>
        </w:rPr>
        <w:t xml:space="preserve"> is considered to contribute positively to the Grade II listed building. </w:t>
      </w:r>
    </w:p>
    <w:p w:rsidR="00027374" w:rsidRPr="00244353" w:rsidRDefault="00027374" w:rsidP="00027374">
      <w:pPr>
        <w:pStyle w:val="ListParagraph"/>
        <w:numPr>
          <w:ilvl w:val="0"/>
          <w:numId w:val="36"/>
        </w:numPr>
        <w:ind w:left="1080"/>
        <w:jc w:val="both"/>
        <w:rPr>
          <w:i/>
          <w:sz w:val="22"/>
          <w:szCs w:val="22"/>
          <w:lang w:eastAsia="en-GB"/>
        </w:rPr>
      </w:pPr>
      <w:r w:rsidRPr="00244353">
        <w:rPr>
          <w:sz w:val="22"/>
          <w:szCs w:val="22"/>
          <w:lang w:eastAsia="en-GB"/>
        </w:rPr>
        <w:t xml:space="preserve">The elements of which contribute to the listing status of the property are considered intact as a result of this proposal. </w:t>
      </w:r>
    </w:p>
    <w:p w:rsidR="00027374" w:rsidRPr="00907E02" w:rsidRDefault="00027374" w:rsidP="00027374">
      <w:pPr>
        <w:overflowPunct/>
        <w:autoSpaceDE/>
        <w:autoSpaceDN/>
        <w:adjustRightInd/>
        <w:ind w:left="720"/>
        <w:jc w:val="both"/>
        <w:textAlignment w:val="auto"/>
        <w:rPr>
          <w:color w:val="000000"/>
          <w:sz w:val="22"/>
          <w:szCs w:val="22"/>
          <w:lang w:eastAsia="en-GB"/>
        </w:rPr>
      </w:pPr>
    </w:p>
    <w:p w:rsidR="00027374" w:rsidRPr="00907E02" w:rsidRDefault="00027374" w:rsidP="00027374">
      <w:pPr>
        <w:overflowPunct/>
        <w:autoSpaceDE/>
        <w:autoSpaceDN/>
        <w:adjustRightInd/>
        <w:ind w:left="720"/>
        <w:jc w:val="both"/>
        <w:textAlignment w:val="auto"/>
        <w:rPr>
          <w:color w:val="000000"/>
          <w:sz w:val="22"/>
          <w:szCs w:val="22"/>
          <w:lang w:eastAsia="en-GB"/>
        </w:rPr>
      </w:pPr>
      <w:r w:rsidRPr="00907E02">
        <w:rPr>
          <w:color w:val="000000"/>
          <w:sz w:val="22"/>
          <w:szCs w:val="22"/>
          <w:lang w:eastAsia="en-GB"/>
        </w:rPr>
        <w:t xml:space="preserve">In this instance the works as proposed would not lead to any harmful loss of significance to the Listed Building. The works are considered to result in the preservation, restoration </w:t>
      </w:r>
      <w:r w:rsidRPr="00907E02">
        <w:rPr>
          <w:color w:val="000000"/>
          <w:sz w:val="22"/>
          <w:szCs w:val="22"/>
          <w:lang w:eastAsia="en-GB"/>
        </w:rPr>
        <w:lastRenderedPageBreak/>
        <w:t>and enhancement of the heritage asset for the public benefit. Specific conditions have been recommended to secure relevant material and joinery details. The proposal therefore complies with the requirements of Section 66 of the Town and Country (Listed Buildings and Conservation Areas) Act 1990 and the statutory duties of the Council in this regard have been discharged.</w:t>
      </w:r>
    </w:p>
    <w:p w:rsidR="00027374" w:rsidRPr="00907E02" w:rsidRDefault="00027374" w:rsidP="00027374">
      <w:pPr>
        <w:overflowPunct/>
        <w:autoSpaceDE/>
        <w:autoSpaceDN/>
        <w:adjustRightInd/>
        <w:ind w:left="720"/>
        <w:jc w:val="both"/>
        <w:textAlignment w:val="auto"/>
        <w:rPr>
          <w:color w:val="000000"/>
          <w:sz w:val="22"/>
          <w:szCs w:val="22"/>
          <w:lang w:eastAsia="en-GB"/>
        </w:rPr>
      </w:pPr>
    </w:p>
    <w:p w:rsidR="00027374" w:rsidRPr="00907E02" w:rsidRDefault="00027374" w:rsidP="00027374">
      <w:pPr>
        <w:pStyle w:val="Heading2"/>
        <w:ind w:left="720"/>
        <w:rPr>
          <w:rFonts w:ascii="Trebuchet MS" w:hAnsi="Trebuchet MS"/>
          <w:sz w:val="22"/>
          <w:szCs w:val="22"/>
          <w:lang w:eastAsia="en-GB"/>
        </w:rPr>
      </w:pPr>
      <w:r w:rsidRPr="00907E02">
        <w:rPr>
          <w:rFonts w:ascii="Trebuchet MS" w:hAnsi="Trebuchet MS"/>
          <w:sz w:val="22"/>
          <w:szCs w:val="22"/>
          <w:lang w:eastAsia="en-GB"/>
        </w:rPr>
        <w:t>7.2 Safeguarding Amenity</w:t>
      </w:r>
    </w:p>
    <w:p w:rsidR="00027374" w:rsidRPr="00907E02" w:rsidRDefault="00027374" w:rsidP="00027374">
      <w:pPr>
        <w:ind w:left="720"/>
        <w:rPr>
          <w:sz w:val="22"/>
          <w:szCs w:val="22"/>
          <w:lang w:eastAsia="en-GB"/>
        </w:rPr>
      </w:pPr>
    </w:p>
    <w:p w:rsidR="00027374" w:rsidRPr="00907E02" w:rsidRDefault="00027374" w:rsidP="00027374">
      <w:pPr>
        <w:overflowPunct/>
        <w:autoSpaceDE/>
        <w:autoSpaceDN/>
        <w:adjustRightInd/>
        <w:ind w:left="720"/>
        <w:jc w:val="both"/>
        <w:textAlignment w:val="auto"/>
        <w:rPr>
          <w:sz w:val="22"/>
          <w:szCs w:val="22"/>
          <w:lang w:eastAsia="en-GB"/>
        </w:rPr>
      </w:pPr>
      <w:r w:rsidRPr="00907E02">
        <w:rPr>
          <w:sz w:val="22"/>
          <w:szCs w:val="22"/>
          <w:lang w:eastAsia="en-GB"/>
        </w:rPr>
        <w:t>This proposal has also been assessed against Reading Borough Local Plan policy CC8: Safeguarding Amenity, which states that proposals are acceptable where they will not cause a detrimental impact on the living environment of existing residential properties with regard to:</w:t>
      </w:r>
    </w:p>
    <w:p w:rsidR="00027374" w:rsidRPr="00907E02" w:rsidRDefault="00027374" w:rsidP="00027374">
      <w:pPr>
        <w:pStyle w:val="ListParagraph"/>
        <w:numPr>
          <w:ilvl w:val="0"/>
          <w:numId w:val="38"/>
        </w:numPr>
        <w:overflowPunct/>
        <w:autoSpaceDE/>
        <w:autoSpaceDN/>
        <w:adjustRightInd/>
        <w:ind w:left="1080"/>
        <w:jc w:val="both"/>
        <w:textAlignment w:val="auto"/>
        <w:rPr>
          <w:i/>
          <w:sz w:val="22"/>
          <w:szCs w:val="22"/>
          <w:lang w:eastAsia="en-GB"/>
        </w:rPr>
      </w:pPr>
      <w:r w:rsidRPr="00907E02">
        <w:rPr>
          <w:i/>
          <w:sz w:val="22"/>
          <w:szCs w:val="22"/>
          <w:lang w:eastAsia="en-GB"/>
        </w:rPr>
        <w:t>Privacy and overlooking</w:t>
      </w:r>
    </w:p>
    <w:p w:rsidR="00027374" w:rsidRPr="00907E02" w:rsidRDefault="00027374" w:rsidP="00027374">
      <w:pPr>
        <w:pStyle w:val="ListParagraph"/>
        <w:numPr>
          <w:ilvl w:val="0"/>
          <w:numId w:val="37"/>
        </w:numPr>
        <w:overflowPunct/>
        <w:autoSpaceDE/>
        <w:autoSpaceDN/>
        <w:adjustRightInd/>
        <w:ind w:left="1080"/>
        <w:jc w:val="both"/>
        <w:textAlignment w:val="auto"/>
        <w:rPr>
          <w:i/>
          <w:sz w:val="22"/>
          <w:szCs w:val="22"/>
          <w:lang w:eastAsia="en-GB"/>
        </w:rPr>
      </w:pPr>
      <w:r w:rsidRPr="00907E02">
        <w:rPr>
          <w:i/>
          <w:sz w:val="22"/>
          <w:szCs w:val="22"/>
          <w:lang w:eastAsia="en-GB"/>
        </w:rPr>
        <w:t>Access to sunlight and daylight</w:t>
      </w:r>
    </w:p>
    <w:p w:rsidR="00027374" w:rsidRPr="00907E02" w:rsidRDefault="00027374" w:rsidP="00027374">
      <w:pPr>
        <w:pStyle w:val="ListParagraph"/>
        <w:numPr>
          <w:ilvl w:val="0"/>
          <w:numId w:val="37"/>
        </w:numPr>
        <w:overflowPunct/>
        <w:autoSpaceDE/>
        <w:autoSpaceDN/>
        <w:adjustRightInd/>
        <w:ind w:left="1080"/>
        <w:jc w:val="both"/>
        <w:textAlignment w:val="auto"/>
        <w:rPr>
          <w:sz w:val="22"/>
          <w:szCs w:val="22"/>
          <w:lang w:eastAsia="en-GB"/>
        </w:rPr>
      </w:pPr>
      <w:r w:rsidRPr="00907E02">
        <w:rPr>
          <w:i/>
          <w:sz w:val="22"/>
          <w:szCs w:val="22"/>
          <w:lang w:eastAsia="en-GB"/>
        </w:rPr>
        <w:t>Harm to outlook</w:t>
      </w:r>
    </w:p>
    <w:p w:rsidR="00027374" w:rsidRPr="00907E02" w:rsidRDefault="00027374" w:rsidP="00027374">
      <w:pPr>
        <w:pStyle w:val="ListParagraph"/>
        <w:numPr>
          <w:ilvl w:val="0"/>
          <w:numId w:val="37"/>
        </w:numPr>
        <w:overflowPunct/>
        <w:autoSpaceDE/>
        <w:autoSpaceDN/>
        <w:adjustRightInd/>
        <w:ind w:left="1080"/>
        <w:jc w:val="both"/>
        <w:textAlignment w:val="auto"/>
        <w:rPr>
          <w:sz w:val="22"/>
          <w:szCs w:val="22"/>
          <w:lang w:eastAsia="en-GB"/>
        </w:rPr>
      </w:pPr>
      <w:r w:rsidRPr="00907E02">
        <w:rPr>
          <w:i/>
          <w:sz w:val="22"/>
          <w:szCs w:val="22"/>
          <w:lang w:eastAsia="en-GB"/>
        </w:rPr>
        <w:t>Crime and safety</w:t>
      </w:r>
    </w:p>
    <w:p w:rsidR="00027374" w:rsidRPr="00907E02" w:rsidRDefault="00027374" w:rsidP="00027374">
      <w:pPr>
        <w:pStyle w:val="ListParagraph"/>
        <w:overflowPunct/>
        <w:autoSpaceDE/>
        <w:autoSpaceDN/>
        <w:adjustRightInd/>
        <w:jc w:val="both"/>
        <w:textAlignment w:val="auto"/>
        <w:rPr>
          <w:sz w:val="22"/>
          <w:szCs w:val="22"/>
          <w:lang w:eastAsia="en-GB"/>
        </w:rPr>
      </w:pPr>
    </w:p>
    <w:p w:rsidR="00027374" w:rsidRPr="00907E02" w:rsidRDefault="00027374" w:rsidP="00027374">
      <w:pPr>
        <w:pStyle w:val="ListParagraph"/>
        <w:overflowPunct/>
        <w:autoSpaceDE/>
        <w:autoSpaceDN/>
        <w:adjustRightInd/>
        <w:jc w:val="both"/>
        <w:textAlignment w:val="auto"/>
        <w:rPr>
          <w:sz w:val="22"/>
          <w:szCs w:val="22"/>
          <w:lang w:eastAsia="en-GB"/>
        </w:rPr>
      </w:pPr>
      <w:r w:rsidRPr="00907E02">
        <w:rPr>
          <w:sz w:val="22"/>
          <w:szCs w:val="22"/>
          <w:lang w:eastAsia="en-GB"/>
        </w:rPr>
        <w:t>This proposal is considered not to harm the amenity to neighbouring properties due to the size and scale of the proposal. The proposal is for the replacement of existing windows, as such there will be no material impact to amenity.</w:t>
      </w:r>
    </w:p>
    <w:p w:rsidR="00027374" w:rsidRPr="00907E02" w:rsidRDefault="00027374" w:rsidP="00027374">
      <w:pPr>
        <w:pStyle w:val="ListParagraph"/>
        <w:overflowPunct/>
        <w:autoSpaceDE/>
        <w:autoSpaceDN/>
        <w:adjustRightInd/>
        <w:jc w:val="both"/>
        <w:textAlignment w:val="auto"/>
        <w:rPr>
          <w:sz w:val="22"/>
          <w:szCs w:val="22"/>
          <w:lang w:eastAsia="en-GB"/>
        </w:rPr>
      </w:pPr>
    </w:p>
    <w:p w:rsidR="00027374" w:rsidRPr="00907E02" w:rsidRDefault="00027374" w:rsidP="00027374">
      <w:pPr>
        <w:overflowPunct/>
        <w:autoSpaceDE/>
        <w:autoSpaceDN/>
        <w:adjustRightInd/>
        <w:jc w:val="both"/>
        <w:textAlignment w:val="auto"/>
        <w:rPr>
          <w:color w:val="000000"/>
          <w:sz w:val="22"/>
          <w:szCs w:val="22"/>
          <w:lang w:eastAsia="en-GB"/>
        </w:rPr>
      </w:pPr>
    </w:p>
    <w:p w:rsidR="00027374" w:rsidRPr="00907E02" w:rsidRDefault="00027374" w:rsidP="00027374">
      <w:pPr>
        <w:pStyle w:val="Heading1"/>
        <w:ind w:hanging="426"/>
        <w:rPr>
          <w:sz w:val="22"/>
          <w:szCs w:val="22"/>
          <w:u w:val="none"/>
          <w:lang w:eastAsia="en-GB"/>
        </w:rPr>
      </w:pPr>
      <w:r w:rsidRPr="00907E02">
        <w:rPr>
          <w:sz w:val="22"/>
          <w:szCs w:val="22"/>
          <w:u w:val="none"/>
          <w:lang w:eastAsia="en-GB"/>
        </w:rPr>
        <w:t>8.</w:t>
      </w:r>
      <w:r w:rsidRPr="00907E02">
        <w:rPr>
          <w:sz w:val="22"/>
          <w:szCs w:val="22"/>
          <w:u w:val="none"/>
          <w:lang w:eastAsia="en-GB"/>
        </w:rPr>
        <w:tab/>
      </w:r>
      <w:r>
        <w:rPr>
          <w:sz w:val="22"/>
          <w:szCs w:val="22"/>
          <w:u w:val="none"/>
          <w:lang w:eastAsia="en-GB"/>
        </w:rPr>
        <w:t xml:space="preserve">           </w:t>
      </w:r>
      <w:r w:rsidRPr="00907E02">
        <w:rPr>
          <w:sz w:val="22"/>
          <w:szCs w:val="22"/>
          <w:u w:val="none"/>
          <w:lang w:eastAsia="en-GB"/>
        </w:rPr>
        <w:t xml:space="preserve">CONCLUSION  </w:t>
      </w:r>
    </w:p>
    <w:p w:rsidR="00027374" w:rsidRPr="00907E02" w:rsidRDefault="00027374" w:rsidP="00027374">
      <w:pPr>
        <w:ind w:left="720"/>
        <w:jc w:val="both"/>
        <w:rPr>
          <w:rFonts w:cs="Trebuchet MS"/>
          <w:b/>
          <w:sz w:val="22"/>
          <w:szCs w:val="22"/>
          <w:lang w:eastAsia="en-GB"/>
        </w:rPr>
      </w:pPr>
    </w:p>
    <w:p w:rsidR="00027374" w:rsidRPr="00907E02" w:rsidRDefault="00027374" w:rsidP="00027374">
      <w:pPr>
        <w:ind w:left="720"/>
        <w:jc w:val="both"/>
        <w:rPr>
          <w:bCs/>
          <w:sz w:val="22"/>
          <w:szCs w:val="22"/>
          <w:lang w:eastAsia="en-GB"/>
        </w:rPr>
      </w:pPr>
      <w:r w:rsidRPr="00907E02">
        <w:rPr>
          <w:bCs/>
          <w:sz w:val="22"/>
          <w:szCs w:val="22"/>
          <w:lang w:eastAsia="en-GB"/>
        </w:rPr>
        <w:t xml:space="preserve">The proposed development has been assessed and the proposed works are considered to be in accordance with the above relevant policies and Listed Building Consent can be granted. </w:t>
      </w:r>
    </w:p>
    <w:p w:rsidR="00027374" w:rsidRPr="00907E02" w:rsidRDefault="00027374" w:rsidP="00027374">
      <w:pPr>
        <w:ind w:hanging="11"/>
        <w:jc w:val="both"/>
        <w:rPr>
          <w:rFonts w:cs="Trebuchet MS"/>
          <w:sz w:val="22"/>
          <w:szCs w:val="22"/>
          <w:lang w:eastAsia="en-GB"/>
        </w:rPr>
      </w:pPr>
    </w:p>
    <w:p w:rsidR="00027374" w:rsidRPr="00907E02" w:rsidRDefault="00027374" w:rsidP="00027374">
      <w:pPr>
        <w:pStyle w:val="Heading1"/>
        <w:ind w:hanging="426"/>
        <w:rPr>
          <w:sz w:val="22"/>
          <w:szCs w:val="22"/>
        </w:rPr>
      </w:pPr>
      <w:r w:rsidRPr="00907E02">
        <w:rPr>
          <w:sz w:val="22"/>
          <w:szCs w:val="22"/>
          <w:u w:val="none"/>
        </w:rPr>
        <w:t>9.</w:t>
      </w:r>
      <w:r w:rsidRPr="00907E02">
        <w:rPr>
          <w:sz w:val="22"/>
          <w:szCs w:val="22"/>
          <w:u w:val="none"/>
        </w:rPr>
        <w:tab/>
      </w:r>
      <w:r>
        <w:rPr>
          <w:sz w:val="22"/>
          <w:szCs w:val="22"/>
          <w:u w:val="none"/>
        </w:rPr>
        <w:t xml:space="preserve">           </w:t>
      </w:r>
      <w:r w:rsidRPr="00907E02">
        <w:rPr>
          <w:sz w:val="22"/>
          <w:szCs w:val="22"/>
          <w:u w:val="none"/>
        </w:rPr>
        <w:t>RECOMMENDATION</w:t>
      </w:r>
      <w:r w:rsidRPr="00907E02">
        <w:rPr>
          <w:sz w:val="22"/>
          <w:szCs w:val="22"/>
        </w:rPr>
        <w:t xml:space="preserve">  </w:t>
      </w:r>
    </w:p>
    <w:p w:rsidR="00027374" w:rsidRPr="00907E02" w:rsidRDefault="00027374" w:rsidP="00027374">
      <w:pPr>
        <w:pStyle w:val="yiv552378054msonormal"/>
        <w:ind w:firstLine="11"/>
        <w:jc w:val="both"/>
        <w:rPr>
          <w:rFonts w:ascii="Trebuchet MS" w:hAnsi="Trebuchet MS"/>
          <w:b/>
          <w:bCs/>
          <w:sz w:val="22"/>
          <w:szCs w:val="22"/>
        </w:rPr>
      </w:pPr>
      <w:r>
        <w:rPr>
          <w:rFonts w:ascii="Trebuchet MS" w:hAnsi="Trebuchet MS"/>
          <w:b/>
          <w:bCs/>
          <w:sz w:val="22"/>
          <w:szCs w:val="22"/>
        </w:rPr>
        <w:t xml:space="preserve">           </w:t>
      </w:r>
      <w:r w:rsidRPr="00907E02">
        <w:rPr>
          <w:rFonts w:ascii="Trebuchet MS" w:hAnsi="Trebuchet MS"/>
          <w:b/>
          <w:bCs/>
          <w:sz w:val="22"/>
          <w:szCs w:val="22"/>
        </w:rPr>
        <w:t>GRANT</w:t>
      </w:r>
    </w:p>
    <w:p w:rsidR="00027374" w:rsidRPr="00907E02" w:rsidRDefault="00027374" w:rsidP="00027374">
      <w:pPr>
        <w:pStyle w:val="Heading1"/>
        <w:ind w:hanging="426"/>
        <w:rPr>
          <w:sz w:val="22"/>
          <w:szCs w:val="22"/>
          <w:u w:val="none"/>
        </w:rPr>
      </w:pPr>
    </w:p>
    <w:p w:rsidR="00027374" w:rsidRPr="00907E02" w:rsidRDefault="00027374" w:rsidP="00027374">
      <w:pPr>
        <w:pStyle w:val="Heading1"/>
        <w:ind w:hanging="426"/>
        <w:rPr>
          <w:sz w:val="22"/>
          <w:szCs w:val="22"/>
          <w:u w:val="none"/>
        </w:rPr>
      </w:pPr>
      <w:r w:rsidRPr="00907E02">
        <w:rPr>
          <w:sz w:val="22"/>
          <w:szCs w:val="22"/>
          <w:u w:val="none"/>
        </w:rPr>
        <w:t xml:space="preserve">10. </w:t>
      </w:r>
      <w:r>
        <w:rPr>
          <w:sz w:val="22"/>
          <w:szCs w:val="22"/>
          <w:u w:val="none"/>
        </w:rPr>
        <w:t xml:space="preserve">           </w:t>
      </w:r>
      <w:r w:rsidRPr="00907E02">
        <w:rPr>
          <w:sz w:val="22"/>
          <w:szCs w:val="22"/>
          <w:u w:val="none"/>
        </w:rPr>
        <w:t>CONDITIONS</w:t>
      </w:r>
    </w:p>
    <w:p w:rsidR="00027374" w:rsidRPr="00907E02" w:rsidRDefault="00027374" w:rsidP="00027374">
      <w:pPr>
        <w:ind w:left="720"/>
        <w:rPr>
          <w:b/>
          <w:sz w:val="22"/>
          <w:szCs w:val="22"/>
        </w:rPr>
      </w:pPr>
      <w:r w:rsidRPr="00907E02">
        <w:rPr>
          <w:b/>
          <w:sz w:val="22"/>
          <w:szCs w:val="22"/>
        </w:rPr>
        <w:t>LB1: Time Limit Listed Building (Works)</w:t>
      </w:r>
    </w:p>
    <w:p w:rsidR="00027374" w:rsidRPr="00907E02" w:rsidRDefault="00027374" w:rsidP="00027374">
      <w:pPr>
        <w:ind w:left="720"/>
        <w:rPr>
          <w:sz w:val="22"/>
          <w:szCs w:val="22"/>
        </w:rPr>
      </w:pPr>
      <w:r w:rsidRPr="00907E02">
        <w:rPr>
          <w:sz w:val="22"/>
          <w:szCs w:val="22"/>
        </w:rPr>
        <w:t>The works hereby permitted shall begin no later than three years from the date of this consent.</w:t>
      </w:r>
    </w:p>
    <w:p w:rsidR="00027374" w:rsidRPr="00907E02" w:rsidRDefault="00027374" w:rsidP="00027374">
      <w:pPr>
        <w:ind w:left="720"/>
        <w:rPr>
          <w:sz w:val="22"/>
          <w:szCs w:val="22"/>
        </w:rPr>
      </w:pPr>
      <w:r w:rsidRPr="00907E02">
        <w:rPr>
          <w:sz w:val="22"/>
          <w:szCs w:val="22"/>
        </w:rPr>
        <w:t xml:space="preserve">REASON: In accordance with Section 18 of the Planning (Listed Building and Conservation Areas) Act 1990 as amended by section 51 of the Planning and Compulsory Purchase Act 2004. </w:t>
      </w:r>
    </w:p>
    <w:p w:rsidR="00027374" w:rsidRPr="00907E02" w:rsidRDefault="00027374" w:rsidP="00027374">
      <w:pPr>
        <w:ind w:left="720"/>
        <w:rPr>
          <w:b/>
          <w:sz w:val="22"/>
          <w:szCs w:val="22"/>
        </w:rPr>
      </w:pPr>
    </w:p>
    <w:p w:rsidR="00027374" w:rsidRPr="00907E02" w:rsidRDefault="00027374" w:rsidP="00027374">
      <w:pPr>
        <w:ind w:left="720"/>
        <w:rPr>
          <w:b/>
          <w:sz w:val="22"/>
          <w:szCs w:val="22"/>
        </w:rPr>
      </w:pPr>
      <w:r w:rsidRPr="00907E02">
        <w:rPr>
          <w:b/>
          <w:sz w:val="22"/>
          <w:szCs w:val="22"/>
        </w:rPr>
        <w:t>LB2: Listed Building (Works Specification)</w:t>
      </w:r>
    </w:p>
    <w:p w:rsidR="00027374" w:rsidRPr="00907E02" w:rsidRDefault="00027374" w:rsidP="00027374">
      <w:pPr>
        <w:ind w:left="720"/>
        <w:rPr>
          <w:sz w:val="22"/>
          <w:szCs w:val="22"/>
        </w:rPr>
      </w:pPr>
      <w:r w:rsidRPr="00907E02">
        <w:rPr>
          <w:sz w:val="22"/>
          <w:szCs w:val="22"/>
        </w:rPr>
        <w:t>The works to the Listed Building hereby permitted shall be carried out only in accordance with the following approved plans or specifications:</w:t>
      </w:r>
    </w:p>
    <w:p w:rsidR="00027374" w:rsidRPr="00907E02" w:rsidRDefault="00027374" w:rsidP="00027374">
      <w:pPr>
        <w:ind w:left="720"/>
        <w:rPr>
          <w:sz w:val="22"/>
          <w:szCs w:val="22"/>
        </w:rPr>
      </w:pPr>
    </w:p>
    <w:p w:rsidR="00027374" w:rsidRPr="00907E02" w:rsidRDefault="00027374" w:rsidP="00027374">
      <w:pPr>
        <w:pStyle w:val="BodyText"/>
        <w:numPr>
          <w:ilvl w:val="0"/>
          <w:numId w:val="35"/>
        </w:numPr>
        <w:ind w:left="1080"/>
        <w:jc w:val="both"/>
        <w:rPr>
          <w:rFonts w:ascii="Trebuchet MS" w:hAnsi="Trebuchet MS"/>
          <w:b w:val="0"/>
          <w:bCs/>
          <w:sz w:val="22"/>
          <w:szCs w:val="22"/>
        </w:rPr>
      </w:pPr>
      <w:r w:rsidRPr="00907E02">
        <w:rPr>
          <w:rFonts w:ascii="Trebuchet MS" w:hAnsi="Trebuchet MS"/>
          <w:b w:val="0"/>
          <w:bCs/>
          <w:sz w:val="22"/>
          <w:szCs w:val="22"/>
        </w:rPr>
        <w:t>Existing Elevations</w:t>
      </w:r>
    </w:p>
    <w:p w:rsidR="00027374" w:rsidRPr="00907E02" w:rsidRDefault="00027374" w:rsidP="00027374">
      <w:pPr>
        <w:pStyle w:val="BodyText"/>
        <w:numPr>
          <w:ilvl w:val="0"/>
          <w:numId w:val="35"/>
        </w:numPr>
        <w:ind w:left="1080"/>
        <w:jc w:val="both"/>
        <w:rPr>
          <w:rFonts w:ascii="Trebuchet MS" w:hAnsi="Trebuchet MS"/>
          <w:b w:val="0"/>
          <w:bCs/>
          <w:sz w:val="22"/>
          <w:szCs w:val="22"/>
        </w:rPr>
      </w:pPr>
      <w:r w:rsidRPr="00907E02">
        <w:rPr>
          <w:rFonts w:ascii="Trebuchet MS" w:hAnsi="Trebuchet MS"/>
          <w:b w:val="0"/>
          <w:bCs/>
          <w:sz w:val="22"/>
          <w:szCs w:val="22"/>
        </w:rPr>
        <w:t>Location Plan and Block Plan</w:t>
      </w:r>
    </w:p>
    <w:p w:rsidR="00027374" w:rsidRPr="00907E02" w:rsidRDefault="00027374" w:rsidP="00027374">
      <w:pPr>
        <w:pStyle w:val="BodyText"/>
        <w:numPr>
          <w:ilvl w:val="0"/>
          <w:numId w:val="35"/>
        </w:numPr>
        <w:ind w:left="1080"/>
        <w:jc w:val="both"/>
        <w:rPr>
          <w:rFonts w:ascii="Trebuchet MS" w:hAnsi="Trebuchet MS"/>
          <w:b w:val="0"/>
          <w:bCs/>
          <w:sz w:val="22"/>
          <w:szCs w:val="22"/>
        </w:rPr>
      </w:pPr>
      <w:r w:rsidRPr="00907E02">
        <w:rPr>
          <w:rFonts w:ascii="Trebuchet MS" w:hAnsi="Trebuchet MS"/>
          <w:b w:val="0"/>
          <w:bCs/>
          <w:sz w:val="22"/>
          <w:szCs w:val="22"/>
        </w:rPr>
        <w:t>Design and Access Statement</w:t>
      </w:r>
    </w:p>
    <w:p w:rsidR="00027374" w:rsidRPr="00907E02" w:rsidRDefault="00027374" w:rsidP="00027374">
      <w:pPr>
        <w:pStyle w:val="BodyText"/>
        <w:numPr>
          <w:ilvl w:val="0"/>
          <w:numId w:val="35"/>
        </w:numPr>
        <w:ind w:left="1080"/>
        <w:jc w:val="both"/>
        <w:rPr>
          <w:rFonts w:ascii="Trebuchet MS" w:hAnsi="Trebuchet MS"/>
          <w:b w:val="0"/>
          <w:bCs/>
          <w:sz w:val="22"/>
          <w:szCs w:val="22"/>
        </w:rPr>
      </w:pPr>
      <w:r w:rsidRPr="00907E02">
        <w:rPr>
          <w:rFonts w:ascii="Trebuchet MS" w:hAnsi="Trebuchet MS"/>
          <w:b w:val="0"/>
          <w:bCs/>
          <w:sz w:val="22"/>
          <w:szCs w:val="22"/>
        </w:rPr>
        <w:t>Heritage Statement</w:t>
      </w:r>
    </w:p>
    <w:p w:rsidR="00027374" w:rsidRPr="00907E02" w:rsidRDefault="00027374" w:rsidP="00027374">
      <w:pPr>
        <w:pStyle w:val="BodyText"/>
        <w:numPr>
          <w:ilvl w:val="0"/>
          <w:numId w:val="35"/>
        </w:numPr>
        <w:ind w:left="1080"/>
        <w:jc w:val="both"/>
        <w:rPr>
          <w:rFonts w:ascii="Trebuchet MS" w:hAnsi="Trebuchet MS"/>
          <w:b w:val="0"/>
          <w:bCs/>
          <w:sz w:val="22"/>
          <w:szCs w:val="22"/>
        </w:rPr>
      </w:pPr>
      <w:r w:rsidRPr="00907E02">
        <w:rPr>
          <w:rFonts w:ascii="Trebuchet MS" w:hAnsi="Trebuchet MS"/>
          <w:b w:val="0"/>
          <w:bCs/>
          <w:sz w:val="22"/>
          <w:szCs w:val="22"/>
        </w:rPr>
        <w:t>Photos</w:t>
      </w:r>
    </w:p>
    <w:p w:rsidR="00027374" w:rsidRPr="00907E02" w:rsidRDefault="00027374" w:rsidP="00027374">
      <w:pPr>
        <w:ind w:left="720"/>
        <w:rPr>
          <w:b/>
          <w:sz w:val="22"/>
          <w:szCs w:val="22"/>
        </w:rPr>
      </w:pPr>
    </w:p>
    <w:p w:rsidR="00027374" w:rsidRPr="00907E02" w:rsidRDefault="00027374" w:rsidP="00027374">
      <w:pPr>
        <w:ind w:left="720"/>
        <w:rPr>
          <w:b/>
          <w:sz w:val="22"/>
          <w:szCs w:val="22"/>
        </w:rPr>
      </w:pPr>
      <w:r w:rsidRPr="00907E02">
        <w:rPr>
          <w:b/>
          <w:sz w:val="22"/>
          <w:szCs w:val="22"/>
        </w:rPr>
        <w:t>MLB: Listed Building Materials (To Match)</w:t>
      </w:r>
    </w:p>
    <w:p w:rsidR="00027374" w:rsidRPr="00907E02" w:rsidRDefault="00027374" w:rsidP="00027374">
      <w:pPr>
        <w:ind w:left="720"/>
        <w:rPr>
          <w:sz w:val="22"/>
          <w:szCs w:val="22"/>
        </w:rPr>
      </w:pPr>
      <w:r w:rsidRPr="00907E02">
        <w:rPr>
          <w:sz w:val="22"/>
          <w:szCs w:val="22"/>
        </w:rPr>
        <w:t xml:space="preserve">All new external and internal works and finishes, and any works of making good, shall match the existing original fabric in respect of using materials of a matching form, </w:t>
      </w:r>
      <w:r w:rsidRPr="00907E02">
        <w:rPr>
          <w:sz w:val="22"/>
          <w:szCs w:val="22"/>
        </w:rPr>
        <w:lastRenderedPageBreak/>
        <w:t>composition and consistency, detailed execution and finished appearance, except where indicated otherwise on the drawings hereby approved.</w:t>
      </w:r>
    </w:p>
    <w:p w:rsidR="00027374" w:rsidRPr="00907E02" w:rsidRDefault="00027374" w:rsidP="00027374">
      <w:pPr>
        <w:ind w:left="720"/>
        <w:rPr>
          <w:sz w:val="22"/>
          <w:szCs w:val="22"/>
        </w:rPr>
      </w:pPr>
      <w:r w:rsidRPr="00907E02">
        <w:rPr>
          <w:sz w:val="22"/>
          <w:szCs w:val="22"/>
        </w:rPr>
        <w:t xml:space="preserve"> </w:t>
      </w:r>
    </w:p>
    <w:p w:rsidR="00027374" w:rsidRPr="00907E02" w:rsidRDefault="00027374" w:rsidP="00027374">
      <w:pPr>
        <w:ind w:left="720"/>
        <w:rPr>
          <w:sz w:val="22"/>
          <w:szCs w:val="22"/>
        </w:rPr>
      </w:pPr>
      <w:r w:rsidRPr="00907E02">
        <w:rPr>
          <w:sz w:val="22"/>
          <w:szCs w:val="22"/>
        </w:rPr>
        <w:t>REASON: In order that the special architectural and historic interest of this Listed Building is safeguarded in accordance with Policy EN1 of the Reading Borough Local Plan 2019.</w:t>
      </w:r>
    </w:p>
    <w:p w:rsidR="002C6D4B" w:rsidRPr="00356D64" w:rsidRDefault="002C6D4B" w:rsidP="002C6D4B">
      <w:pPr>
        <w:jc w:val="both"/>
        <w:rPr>
          <w:color w:val="000000"/>
          <w:sz w:val="22"/>
          <w:szCs w:val="22"/>
          <w:lang w:eastAsia="en-GB"/>
        </w:rPr>
      </w:pPr>
    </w:p>
    <w:p w:rsidR="002C6D4B" w:rsidRPr="006511AF" w:rsidRDefault="002C6D4B" w:rsidP="00027374">
      <w:pPr>
        <w:ind w:left="731" w:hanging="11"/>
        <w:jc w:val="both"/>
        <w:rPr>
          <w:rFonts w:cs="Trebuchet MS"/>
          <w:sz w:val="22"/>
          <w:szCs w:val="22"/>
          <w:lang w:eastAsia="en-GB"/>
        </w:rPr>
      </w:pPr>
    </w:p>
    <w:sectPr w:rsidR="002C6D4B" w:rsidRPr="006511AF" w:rsidSect="002C6D4B">
      <w:footerReference w:type="default" r:id="rId12"/>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4C44" w:rsidRDefault="00464C44">
      <w:r>
        <w:separator/>
      </w:r>
    </w:p>
  </w:endnote>
  <w:endnote w:type="continuationSeparator" w:id="0">
    <w:p w:rsidR="00464C44" w:rsidRDefault="00464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MS">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374" w:rsidRDefault="0002737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4C44" w:rsidRDefault="00464C44">
      <w:r>
        <w:separator/>
      </w:r>
    </w:p>
  </w:footnote>
  <w:footnote w:type="continuationSeparator" w:id="0">
    <w:p w:rsidR="00464C44" w:rsidRDefault="00464C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5F5188"/>
    <w:multiLevelType w:val="hybridMultilevel"/>
    <w:tmpl w:val="88467F6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A04E1C"/>
    <w:multiLevelType w:val="hybridMultilevel"/>
    <w:tmpl w:val="BED80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6F0B45"/>
    <w:multiLevelType w:val="hybridMultilevel"/>
    <w:tmpl w:val="2C3A00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2"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3"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4B9A111D"/>
    <w:multiLevelType w:val="hybridMultilevel"/>
    <w:tmpl w:val="812E3E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6"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7"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DB93B67"/>
    <w:multiLevelType w:val="hybridMultilevel"/>
    <w:tmpl w:val="86782492"/>
    <w:lvl w:ilvl="0" w:tplc="0809000F">
      <w:start w:val="5"/>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1"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32"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4"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31"/>
  </w:num>
  <w:num w:numId="2">
    <w:abstractNumId w:val="26"/>
  </w:num>
  <w:num w:numId="3">
    <w:abstractNumId w:val="8"/>
  </w:num>
  <w:num w:numId="4">
    <w:abstractNumId w:val="36"/>
  </w:num>
  <w:num w:numId="5">
    <w:abstractNumId w:val="21"/>
  </w:num>
  <w:num w:numId="6">
    <w:abstractNumId w:val="15"/>
  </w:num>
  <w:num w:numId="7">
    <w:abstractNumId w:val="5"/>
  </w:num>
  <w:num w:numId="8">
    <w:abstractNumId w:val="32"/>
  </w:num>
  <w:num w:numId="9">
    <w:abstractNumId w:val="27"/>
  </w:num>
  <w:num w:numId="10">
    <w:abstractNumId w:val="3"/>
  </w:num>
  <w:num w:numId="11">
    <w:abstractNumId w:val="9"/>
  </w:num>
  <w:num w:numId="12">
    <w:abstractNumId w:val="34"/>
  </w:num>
  <w:num w:numId="13">
    <w:abstractNumId w:val="7"/>
  </w:num>
  <w:num w:numId="14">
    <w:abstractNumId w:val="31"/>
  </w:num>
  <w:num w:numId="15">
    <w:abstractNumId w:val="20"/>
  </w:num>
  <w:num w:numId="16">
    <w:abstractNumId w:val="28"/>
  </w:num>
  <w:num w:numId="17">
    <w:abstractNumId w:val="22"/>
  </w:num>
  <w:num w:numId="18">
    <w:abstractNumId w:val="35"/>
  </w:num>
  <w:num w:numId="19">
    <w:abstractNumId w:val="2"/>
  </w:num>
  <w:num w:numId="20">
    <w:abstractNumId w:val="12"/>
  </w:num>
  <w:num w:numId="21">
    <w:abstractNumId w:val="29"/>
  </w:num>
  <w:num w:numId="22">
    <w:abstractNumId w:val="16"/>
  </w:num>
  <w:num w:numId="23">
    <w:abstractNumId w:val="11"/>
  </w:num>
  <w:num w:numId="24">
    <w:abstractNumId w:val="17"/>
  </w:num>
  <w:num w:numId="25">
    <w:abstractNumId w:val="14"/>
  </w:num>
  <w:num w:numId="26">
    <w:abstractNumId w:val="23"/>
  </w:num>
  <w:num w:numId="27">
    <w:abstractNumId w:val="0"/>
  </w:num>
  <w:num w:numId="28">
    <w:abstractNumId w:val="25"/>
    <w:lvlOverride w:ilvl="0"/>
  </w:num>
  <w:num w:numId="29">
    <w:abstractNumId w:val="10"/>
  </w:num>
  <w:num w:numId="30">
    <w:abstractNumId w:val="13"/>
  </w:num>
  <w:num w:numId="31">
    <w:abstractNumId w:val="33"/>
  </w:num>
  <w:num w:numId="32">
    <w:abstractNumId w:val="37"/>
  </w:num>
  <w:num w:numId="33">
    <w:abstractNumId w:val="24"/>
  </w:num>
  <w:num w:numId="34">
    <w:abstractNumId w:val="18"/>
  </w:num>
  <w:num w:numId="35">
    <w:abstractNumId w:val="19"/>
  </w:num>
  <w:num w:numId="36">
    <w:abstractNumId w:val="1"/>
  </w:num>
  <w:num w:numId="37">
    <w:abstractNumId w:val="6"/>
  </w:num>
  <w:num w:numId="38">
    <w:abstractNumId w:val="4"/>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27374"/>
    <w:rsid w:val="00294D83"/>
    <w:rsid w:val="002C6D4B"/>
    <w:rsid w:val="00343D4D"/>
    <w:rsid w:val="00464C44"/>
    <w:rsid w:val="00796737"/>
    <w:rsid w:val="00B64098"/>
    <w:rsid w:val="00C71E45"/>
    <w:rsid w:val="00EC69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chartTrackingRefBased/>
  <w15:docId w15:val="{F561424C-D61F-4F4C-913E-2EA20ADA2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1241</Words>
  <Characters>7075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8300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2022-11-11T18:39:00Z</dcterms:created>
  <dcterms:modified xsi:type="dcterms:W3CDTF">2022-11-11T18:39:00Z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