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66A3" w:rsidRPr="004566A3" w:rsidRDefault="004566A3" w:rsidP="004566A3">
      <w:pPr>
        <w:spacing w:after="100" w:afterAutospacing="1" w:line="388" w:lineRule="atLeast"/>
        <w:outlineLvl w:val="0"/>
        <w:rPr>
          <w:rFonts w:ascii="Rubik" w:eastAsia="Times New Roman" w:hAnsi="Rubik" w:cs="Times New Roman"/>
          <w:b/>
          <w:caps/>
          <w:color w:val="000000"/>
          <w:kern w:val="36"/>
          <w:sz w:val="31"/>
          <w:szCs w:val="31"/>
          <w:u w:val="single"/>
        </w:rPr>
      </w:pPr>
      <w:r w:rsidRPr="004566A3">
        <w:rPr>
          <w:rFonts w:ascii="Rubik" w:eastAsia="Times New Roman" w:hAnsi="Rubik" w:cs="Times New Roman"/>
          <w:b/>
          <w:caps/>
          <w:color w:val="000000"/>
          <w:kern w:val="36"/>
          <w:sz w:val="31"/>
          <w:szCs w:val="31"/>
          <w:u w:val="single"/>
        </w:rPr>
        <w:t xml:space="preserve">MATERIALS </w:t>
      </w:r>
    </w:p>
    <w:p w:rsidR="004566A3" w:rsidRPr="004566A3" w:rsidRDefault="004566A3" w:rsidP="004566A3">
      <w:pPr>
        <w:spacing w:after="100" w:afterAutospacing="1" w:line="388" w:lineRule="atLeast"/>
        <w:outlineLvl w:val="0"/>
        <w:rPr>
          <w:rFonts w:ascii="Rubik" w:eastAsia="Times New Roman" w:hAnsi="Rubik" w:cs="Times New Roman"/>
          <w:caps/>
          <w:color w:val="000000"/>
          <w:kern w:val="36"/>
          <w:sz w:val="31"/>
          <w:szCs w:val="31"/>
        </w:rPr>
      </w:pPr>
      <w:r w:rsidRPr="004566A3">
        <w:rPr>
          <w:rFonts w:ascii="Rubik" w:eastAsia="Times New Roman" w:hAnsi="Rubik" w:cs="Times New Roman"/>
          <w:caps/>
          <w:color w:val="000000"/>
          <w:kern w:val="36"/>
          <w:sz w:val="31"/>
          <w:szCs w:val="31"/>
        </w:rPr>
        <w:t>ET CLAY TAKELEY RED WIRECUT FACING BRICK PACK</w:t>
      </w:r>
    </w:p>
    <w:p w:rsidR="00D0008A" w:rsidRDefault="004566A3">
      <w:pPr>
        <w:rPr>
          <w:rFonts w:ascii="Rubik" w:hAnsi="Rubik"/>
          <w:color w:val="000000"/>
          <w:sz w:val="23"/>
          <w:szCs w:val="23"/>
          <w:shd w:val="clear" w:color="auto" w:fill="FFFFFF"/>
        </w:rPr>
      </w:pPr>
      <w:r>
        <w:rPr>
          <w:rFonts w:ascii="Rubik" w:hAnsi="Rubik"/>
          <w:color w:val="000000"/>
          <w:sz w:val="23"/>
          <w:szCs w:val="23"/>
          <w:shd w:val="clear" w:color="auto" w:fill="FFFFFF"/>
        </w:rPr>
        <w:t xml:space="preserve">The </w:t>
      </w:r>
      <w:proofErr w:type="spellStart"/>
      <w:r>
        <w:rPr>
          <w:rFonts w:ascii="Rubik" w:hAnsi="Rubik"/>
          <w:color w:val="000000"/>
          <w:sz w:val="23"/>
          <w:szCs w:val="23"/>
          <w:shd w:val="clear" w:color="auto" w:fill="FFFFFF"/>
        </w:rPr>
        <w:t>Takeley</w:t>
      </w:r>
      <w:proofErr w:type="spellEnd"/>
      <w:r>
        <w:rPr>
          <w:rFonts w:ascii="Rubik" w:hAnsi="Rubik"/>
          <w:color w:val="000000"/>
          <w:sz w:val="23"/>
          <w:szCs w:val="23"/>
          <w:shd w:val="clear" w:color="auto" w:fill="FFFFFF"/>
        </w:rPr>
        <w:t xml:space="preserve"> Red brick is a perforated, </w:t>
      </w:r>
      <w:proofErr w:type="spellStart"/>
      <w:r>
        <w:rPr>
          <w:rFonts w:ascii="Rubik" w:hAnsi="Rubik"/>
          <w:color w:val="000000"/>
          <w:sz w:val="23"/>
          <w:szCs w:val="23"/>
          <w:shd w:val="clear" w:color="auto" w:fill="FFFFFF"/>
        </w:rPr>
        <w:t>wirecut</w:t>
      </w:r>
      <w:proofErr w:type="spellEnd"/>
      <w:r>
        <w:rPr>
          <w:rFonts w:ascii="Rubik" w:hAnsi="Rubik"/>
          <w:color w:val="000000"/>
          <w:sz w:val="23"/>
          <w:szCs w:val="23"/>
          <w:shd w:val="clear" w:color="auto" w:fill="FFFFFF"/>
        </w:rPr>
        <w:t xml:space="preserve"> facing brick</w:t>
      </w:r>
      <w:proofErr w:type="gramStart"/>
      <w:r>
        <w:rPr>
          <w:rFonts w:ascii="Rubik" w:hAnsi="Rubik"/>
          <w:color w:val="000000"/>
          <w:sz w:val="23"/>
          <w:szCs w:val="23"/>
          <w:shd w:val="clear" w:color="auto" w:fill="FFFFFF"/>
        </w:rPr>
        <w:t>,  imported</w:t>
      </w:r>
      <w:proofErr w:type="gramEnd"/>
      <w:r>
        <w:rPr>
          <w:rFonts w:ascii="Rubik" w:hAnsi="Rubik"/>
          <w:color w:val="000000"/>
          <w:sz w:val="23"/>
          <w:szCs w:val="23"/>
          <w:shd w:val="clear" w:color="auto" w:fill="FFFFFF"/>
        </w:rPr>
        <w:t xml:space="preserve"> from the EU. It is red in </w:t>
      </w:r>
      <w:proofErr w:type="spellStart"/>
      <w:r>
        <w:rPr>
          <w:rFonts w:ascii="Rubik" w:hAnsi="Rubik"/>
          <w:color w:val="000000"/>
          <w:sz w:val="23"/>
          <w:szCs w:val="23"/>
          <w:shd w:val="clear" w:color="auto" w:fill="FFFFFF"/>
        </w:rPr>
        <w:t>colour</w:t>
      </w:r>
      <w:proofErr w:type="spellEnd"/>
      <w:r>
        <w:rPr>
          <w:rFonts w:ascii="Rubik" w:hAnsi="Rubik"/>
          <w:color w:val="000000"/>
          <w:sz w:val="23"/>
          <w:szCs w:val="23"/>
          <w:shd w:val="clear" w:color="auto" w:fill="FFFFFF"/>
        </w:rPr>
        <w:t xml:space="preserve"> with a light texture.</w:t>
      </w:r>
    </w:p>
    <w:p w:rsidR="004566A3" w:rsidRDefault="004566A3">
      <w:r>
        <w:rPr>
          <w:noProof/>
        </w:rPr>
        <w:drawing>
          <wp:inline distT="0" distB="0" distL="0" distR="0">
            <wp:extent cx="3808095" cy="3808095"/>
            <wp:effectExtent l="0" t="0" r="1905" b="1905"/>
            <wp:docPr id="1" name="Picture 1" descr="ET Clay Takeley Red Wirecut Facing Brick Pack of 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T Clay Takeley Red Wirecut Facing Brick Pack of 52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8095" cy="380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66A3" w:rsidRDefault="004566A3"/>
    <w:p w:rsidR="004566A3" w:rsidRDefault="004566A3"/>
    <w:p w:rsidR="004566A3" w:rsidRDefault="004566A3"/>
    <w:p w:rsidR="004566A3" w:rsidRDefault="004566A3"/>
    <w:p w:rsidR="004566A3" w:rsidRDefault="004566A3"/>
    <w:p w:rsidR="004566A3" w:rsidRDefault="004566A3" w:rsidP="004566A3">
      <w:pPr>
        <w:pStyle w:val="Heading2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7F7FA"/>
        <w:rPr>
          <w:rFonts w:ascii="Segoe UI" w:hAnsi="Segoe UI" w:cs="Segoe UI"/>
          <w:color w:val="66707C"/>
          <w:spacing w:val="24"/>
        </w:rPr>
      </w:pPr>
      <w:proofErr w:type="spellStart"/>
      <w:r>
        <w:rPr>
          <w:rFonts w:ascii="Segoe UI" w:hAnsi="Segoe UI" w:cs="Segoe UI"/>
          <w:color w:val="66707C"/>
          <w:spacing w:val="24"/>
        </w:rPr>
        <w:t>AluK</w:t>
      </w:r>
      <w:proofErr w:type="spellEnd"/>
      <w:r>
        <w:rPr>
          <w:rFonts w:ascii="Segoe UI" w:hAnsi="Segoe UI" w:cs="Segoe UI"/>
          <w:color w:val="66707C"/>
          <w:spacing w:val="24"/>
        </w:rPr>
        <w:t xml:space="preserve"> 58BW</w:t>
      </w:r>
    </w:p>
    <w:p w:rsidR="004566A3" w:rsidRDefault="004566A3" w:rsidP="004566A3">
      <w:pPr>
        <w:pStyle w:val="NormalWeb"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7F7FA"/>
        <w:rPr>
          <w:rFonts w:ascii="Segoe UI" w:hAnsi="Segoe UI" w:cs="Segoe UI"/>
          <w:color w:val="66707C"/>
          <w:sz w:val="27"/>
          <w:szCs w:val="27"/>
        </w:rPr>
      </w:pPr>
      <w:r>
        <w:rPr>
          <w:rFonts w:ascii="Segoe UI" w:hAnsi="Segoe UI" w:cs="Segoe UI"/>
          <w:color w:val="66707C"/>
          <w:sz w:val="27"/>
          <w:szCs w:val="27"/>
        </w:rPr>
        <w:t xml:space="preserve">The attractive casement design of the </w:t>
      </w:r>
      <w:proofErr w:type="spellStart"/>
      <w:r>
        <w:rPr>
          <w:rFonts w:ascii="Segoe UI" w:hAnsi="Segoe UI" w:cs="Segoe UI"/>
          <w:color w:val="66707C"/>
          <w:sz w:val="27"/>
          <w:szCs w:val="27"/>
        </w:rPr>
        <w:t>AluK</w:t>
      </w:r>
      <w:proofErr w:type="spellEnd"/>
      <w:r>
        <w:rPr>
          <w:rFonts w:ascii="Segoe UI" w:hAnsi="Segoe UI" w:cs="Segoe UI"/>
          <w:color w:val="66707C"/>
          <w:sz w:val="27"/>
          <w:szCs w:val="27"/>
        </w:rPr>
        <w:t xml:space="preserve"> 58BW is perfect to replace both older windows in heritage properties, or to create a modern sleek look in a contemporary build. The frame offers clean lines and advanced functionality. Available in multiple configurations, with a range of </w:t>
      </w:r>
      <w:proofErr w:type="spellStart"/>
      <w:r>
        <w:rPr>
          <w:rFonts w:ascii="Segoe UI" w:hAnsi="Segoe UI" w:cs="Segoe UI"/>
          <w:color w:val="66707C"/>
          <w:sz w:val="27"/>
          <w:szCs w:val="27"/>
        </w:rPr>
        <w:t>customisable</w:t>
      </w:r>
      <w:proofErr w:type="spellEnd"/>
      <w:r>
        <w:rPr>
          <w:rFonts w:ascii="Segoe UI" w:hAnsi="Segoe UI" w:cs="Segoe UI"/>
          <w:color w:val="66707C"/>
          <w:sz w:val="27"/>
          <w:szCs w:val="27"/>
        </w:rPr>
        <w:t xml:space="preserve"> options.</w:t>
      </w:r>
    </w:p>
    <w:p w:rsidR="004566A3" w:rsidRDefault="004566A3" w:rsidP="004566A3">
      <w:pPr>
        <w:shd w:val="clear" w:color="auto" w:fill="F7F7FA"/>
        <w:rPr>
          <w:rFonts w:ascii="Segoe UI" w:hAnsi="Segoe UI" w:cs="Segoe UI"/>
          <w:color w:val="66707C"/>
          <w:sz w:val="27"/>
          <w:szCs w:val="27"/>
        </w:rPr>
      </w:pPr>
      <w:r>
        <w:rPr>
          <w:rFonts w:ascii="Segoe UI" w:hAnsi="Segoe UI" w:cs="Segoe UI"/>
          <w:noProof/>
          <w:color w:val="66707C"/>
          <w:sz w:val="27"/>
          <w:szCs w:val="27"/>
        </w:rPr>
        <w:lastRenderedPageBreak/>
        <w:drawing>
          <wp:inline distT="0" distB="0" distL="0" distR="0">
            <wp:extent cx="2858770" cy="2858770"/>
            <wp:effectExtent l="0" t="0" r="0" b="0"/>
            <wp:docPr id="4" name="Picture 4" descr="https://exetertradealuminium.co.uk/app/uploads/2022/06/aluk-logo-high-e1655278147800-300x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exetertradealuminium.co.uk/app/uploads/2022/06/aluk-logo-high-e1655278147800-300x30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770" cy="2858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66A3" w:rsidRDefault="004566A3" w:rsidP="004566A3">
      <w:pPr>
        <w:shd w:val="clear" w:color="auto" w:fill="F7F7FA"/>
        <w:rPr>
          <w:rFonts w:ascii="Segoe UI" w:hAnsi="Segoe UI" w:cs="Segoe UI"/>
          <w:color w:val="66707C"/>
          <w:sz w:val="27"/>
          <w:szCs w:val="27"/>
        </w:rPr>
      </w:pPr>
    </w:p>
    <w:p w:rsidR="004566A3" w:rsidRDefault="004566A3"/>
    <w:p w:rsidR="004566A3" w:rsidRDefault="004566A3">
      <w:proofErr w:type="spellStart"/>
      <w:r>
        <w:t>Colour</w:t>
      </w:r>
      <w:proofErr w:type="spellEnd"/>
      <w:r>
        <w:t xml:space="preserve"> of windows and doors</w:t>
      </w:r>
    </w:p>
    <w:p w:rsidR="004566A3" w:rsidRDefault="004566A3">
      <w:r>
        <w:rPr>
          <w:noProof/>
        </w:rPr>
        <w:drawing>
          <wp:inline distT="0" distB="0" distL="0" distR="0">
            <wp:extent cx="1094105" cy="1094105"/>
            <wp:effectExtent l="0" t="0" r="0" b="0"/>
            <wp:docPr id="2" name="Picture 2" descr="RAL 7031 - Blue Gre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AL 7031 - Blue Grey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105" cy="1094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7145" w:rsidRDefault="00C77145"/>
    <w:p w:rsidR="00C77145" w:rsidRDefault="00C77145" w:rsidP="00C77145">
      <w:pPr>
        <w:pStyle w:val="Heading2"/>
        <w:spacing w:before="0" w:after="375"/>
        <w:textAlignment w:val="baseline"/>
        <w:rPr>
          <w:rFonts w:ascii="Arial" w:hAnsi="Arial" w:cs="Arial"/>
          <w:color w:val="58727C"/>
          <w:sz w:val="60"/>
          <w:szCs w:val="60"/>
        </w:rPr>
      </w:pPr>
      <w:r>
        <w:rPr>
          <w:rFonts w:ascii="Arial" w:hAnsi="Arial" w:cs="Arial"/>
          <w:b/>
          <w:bCs/>
          <w:color w:val="58727C"/>
          <w:sz w:val="60"/>
          <w:szCs w:val="60"/>
        </w:rPr>
        <w:t>Del Carmen: the slate that started it all</w:t>
      </w:r>
    </w:p>
    <w:p w:rsidR="00C77145" w:rsidRDefault="00C77145" w:rsidP="00C77145">
      <w:pPr>
        <w:pStyle w:val="NormalWeb"/>
        <w:spacing w:before="0" w:beforeAutospacing="0" w:after="300" w:afterAutospacing="0"/>
        <w:textAlignment w:val="baseline"/>
        <w:rPr>
          <w:rFonts w:ascii="Arial" w:hAnsi="Arial" w:cs="Arial"/>
          <w:color w:val="505552"/>
          <w:sz w:val="27"/>
          <w:szCs w:val="27"/>
        </w:rPr>
      </w:pPr>
      <w:r>
        <w:rPr>
          <w:rFonts w:ascii="Arial" w:hAnsi="Arial" w:cs="Arial"/>
          <w:color w:val="505552"/>
          <w:sz w:val="27"/>
          <w:szCs w:val="27"/>
        </w:rPr>
        <w:t>Del Carmen is the sensational natural slate that started it all. It was when our founder, Ahmed El-</w:t>
      </w:r>
      <w:proofErr w:type="spellStart"/>
      <w:r>
        <w:rPr>
          <w:rFonts w:ascii="Arial" w:hAnsi="Arial" w:cs="Arial"/>
          <w:color w:val="505552"/>
          <w:sz w:val="27"/>
          <w:szCs w:val="27"/>
        </w:rPr>
        <w:t>Helw</w:t>
      </w:r>
      <w:proofErr w:type="spellEnd"/>
      <w:r>
        <w:rPr>
          <w:rFonts w:ascii="Arial" w:hAnsi="Arial" w:cs="Arial"/>
          <w:color w:val="505552"/>
          <w:sz w:val="27"/>
          <w:szCs w:val="27"/>
        </w:rPr>
        <w:t>, first found Del Carmen that the SSQ journey really began.</w:t>
      </w:r>
    </w:p>
    <w:p w:rsidR="00C77145" w:rsidRDefault="00C77145" w:rsidP="00C77145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505552"/>
          <w:sz w:val="27"/>
          <w:szCs w:val="27"/>
        </w:rPr>
      </w:pPr>
      <w:r>
        <w:rPr>
          <w:rFonts w:ascii="Arial" w:hAnsi="Arial" w:cs="Arial"/>
          <w:color w:val="505552"/>
          <w:sz w:val="27"/>
          <w:szCs w:val="27"/>
        </w:rPr>
        <w:t>One of the finest quarries in the most renowned slate-producing region of North-West Spain, Del Carmen produces outstanding </w:t>
      </w:r>
      <w:hyperlink r:id="rId7" w:history="1">
        <w:r>
          <w:rPr>
            <w:rStyle w:val="Hyperlink"/>
            <w:rFonts w:ascii="Arial" w:hAnsi="Arial" w:cs="Arial"/>
            <w:color w:val="97BFCD"/>
            <w:sz w:val="27"/>
            <w:szCs w:val="27"/>
            <w:bdr w:val="none" w:sz="0" w:space="0" w:color="auto" w:frame="1"/>
          </w:rPr>
          <w:t>Spanish slate</w:t>
        </w:r>
      </w:hyperlink>
      <w:r>
        <w:rPr>
          <w:rFonts w:ascii="Arial" w:hAnsi="Arial" w:cs="Arial"/>
          <w:color w:val="505552"/>
          <w:sz w:val="27"/>
          <w:szCs w:val="27"/>
        </w:rPr>
        <w:t xml:space="preserve"> with a deep blue-black </w:t>
      </w:r>
      <w:proofErr w:type="spellStart"/>
      <w:r>
        <w:rPr>
          <w:rFonts w:ascii="Arial" w:hAnsi="Arial" w:cs="Arial"/>
          <w:color w:val="505552"/>
          <w:sz w:val="27"/>
          <w:szCs w:val="27"/>
        </w:rPr>
        <w:t>colour</w:t>
      </w:r>
      <w:proofErr w:type="spellEnd"/>
      <w:r>
        <w:rPr>
          <w:rFonts w:ascii="Arial" w:hAnsi="Arial" w:cs="Arial"/>
          <w:color w:val="505552"/>
          <w:sz w:val="27"/>
          <w:szCs w:val="27"/>
        </w:rPr>
        <w:t xml:space="preserve"> that will not fade in sunlight, </w:t>
      </w:r>
      <w:r>
        <w:rPr>
          <w:rFonts w:ascii="Arial" w:hAnsi="Arial" w:cs="Arial"/>
          <w:color w:val="505552"/>
          <w:sz w:val="27"/>
          <w:szCs w:val="27"/>
        </w:rPr>
        <w:lastRenderedPageBreak/>
        <w:t>characteristic longitudinal grain, and highly distinctive, faintly-rippled texture.</w:t>
      </w:r>
    </w:p>
    <w:p w:rsidR="00C77145" w:rsidRDefault="00C77145" w:rsidP="00C77145">
      <w:pPr>
        <w:pStyle w:val="NormalWeb"/>
        <w:spacing w:before="0" w:beforeAutospacing="0" w:after="300" w:afterAutospacing="0"/>
        <w:textAlignment w:val="baseline"/>
        <w:rPr>
          <w:rFonts w:ascii="Arial" w:hAnsi="Arial" w:cs="Arial"/>
          <w:color w:val="505552"/>
          <w:sz w:val="27"/>
          <w:szCs w:val="27"/>
        </w:rPr>
      </w:pPr>
      <w:r>
        <w:rPr>
          <w:rFonts w:ascii="Arial" w:hAnsi="Arial" w:cs="Arial"/>
          <w:color w:val="505552"/>
          <w:sz w:val="27"/>
          <w:szCs w:val="27"/>
        </w:rPr>
        <w:t>That’s why when architects, contractors and homeowners want to crown a property in style, they choose Del Carmen.</w:t>
      </w:r>
    </w:p>
    <w:p w:rsidR="00C77145" w:rsidRDefault="00C77145">
      <w:r>
        <w:rPr>
          <w:noProof/>
        </w:rPr>
        <w:drawing>
          <wp:inline distT="0" distB="0" distL="0" distR="0">
            <wp:extent cx="5486400" cy="3632950"/>
            <wp:effectExtent l="0" t="0" r="0" b="5715"/>
            <wp:docPr id="5" name="Picture 5" descr="Benbu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enburb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3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77145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Rubik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6A3"/>
    <w:rsid w:val="004566A3"/>
    <w:rsid w:val="00C77145"/>
    <w:rsid w:val="00D00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498019-87D8-40BF-9FDE-12E919724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566A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66A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66A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66A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56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C771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51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71894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94938932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4" w:space="0" w:color="auto"/>
              </w:divBdr>
              <w:divsChild>
                <w:div w:id="18502865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129244315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93424698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31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  <w:div w:id="119276536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60727213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31" w:color="auto"/>
                <w:right w:val="single" w:sz="2" w:space="0" w:color="auto"/>
              </w:divBdr>
            </w:div>
          </w:divsChild>
        </w:div>
      </w:divsChild>
    </w:div>
    <w:div w:id="4742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hyperlink" Target="https://www.ssqgroup.com/about/spanish-slat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Huawei Technologies Co.,Ltd.</Company>
  <LinksUpToDate>false</LinksUpToDate>
  <CharactersWithSpaces>1203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JHAHANGER ZAMAN</dc:creator>
  <cp:keywords/>
  <dc:description/>
  <cp:lastModifiedBy>JHAHANGER ZAMAN</cp:lastModifiedBy>
  <cp:revision>2</cp:revision>
  <dcterms:created xsi:type="dcterms:W3CDTF">2023-08-23T08:18:00Z</dcterms:created>
  <dcterms:modified xsi:type="dcterms:W3CDTF">2023-08-23T08:29:00Z</dcterms:modified>
</cp:coreProperties>
</file>