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5AC" w:rsidRDefault="00F45975" w:rsidP="006405AC">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6405AC" w:rsidRDefault="006405AC">
      <w:pPr>
        <w:pStyle w:val="BodyText"/>
        <w:tabs>
          <w:tab w:val="left" w:pos="2552"/>
        </w:tabs>
        <w:ind w:left="2552" w:hanging="2552"/>
        <w:jc w:val="both"/>
        <w:rPr>
          <w:rFonts w:ascii="Trebuchet MS" w:hAnsi="Trebuchet MS"/>
          <w:sz w:val="22"/>
          <w:szCs w:val="22"/>
        </w:rPr>
      </w:pPr>
    </w:p>
    <w:p w:rsidR="006405AC" w:rsidRPr="00FF3B1B" w:rsidRDefault="006405AC" w:rsidP="006405A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405AC" w:rsidRPr="00FF3B1B" w:rsidRDefault="006405AC" w:rsidP="006405AC">
      <w:pPr>
        <w:pStyle w:val="BodyText"/>
        <w:tabs>
          <w:tab w:val="left" w:pos="2552"/>
        </w:tabs>
        <w:ind w:left="3272" w:hanging="2552"/>
        <w:jc w:val="both"/>
        <w:rPr>
          <w:rFonts w:ascii="Trebuchet MS" w:hAnsi="Trebuchet MS"/>
          <w:sz w:val="22"/>
          <w:szCs w:val="22"/>
        </w:rPr>
      </w:pPr>
    </w:p>
    <w:p w:rsidR="006405AC" w:rsidRPr="00FF3B1B" w:rsidRDefault="006405AC" w:rsidP="006405A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6405AC" w:rsidRPr="00FF3B1B" w:rsidRDefault="006405AC" w:rsidP="006405A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230902</w:t>
      </w:r>
      <w:r w:rsidRPr="00FF3B1B">
        <w:rPr>
          <w:rFonts w:ascii="Trebuchet MS" w:hAnsi="Trebuchet MS"/>
          <w:b w:val="0"/>
          <w:sz w:val="22"/>
          <w:szCs w:val="22"/>
        </w:rPr>
        <w:t>/</w:t>
      </w:r>
      <w:r w:rsidRPr="00FF3B1B">
        <w:rPr>
          <w:rFonts w:ascii="Trebuchet MS" w:hAnsi="Trebuchet MS"/>
          <w:sz w:val="22"/>
          <w:szCs w:val="22"/>
        </w:rPr>
        <w:t>HOU</w:t>
      </w:r>
    </w:p>
    <w:p w:rsidR="006405AC" w:rsidRPr="00FF3B1B" w:rsidRDefault="006405AC" w:rsidP="006405A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17 Wardle Avenue, Tilehurst, Reading, RG31 6JR</w:t>
      </w:r>
    </w:p>
    <w:p w:rsidR="006405AC" w:rsidRPr="00FF3B1B" w:rsidRDefault="006405AC" w:rsidP="006405AC">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single storey flat roof rear extension with bifold doors and roof lanterns. </w:t>
      </w:r>
    </w:p>
    <w:p w:rsidR="006405AC" w:rsidRPr="00FF3B1B" w:rsidRDefault="006405AC" w:rsidP="006405A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405AC" w:rsidRPr="00FF3B1B" w:rsidRDefault="006405AC" w:rsidP="006405A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Victoria Hattam</w:t>
      </w:r>
    </w:p>
    <w:p w:rsidR="006405AC" w:rsidRDefault="006405AC" w:rsidP="006405AC">
      <w:pPr>
        <w:pStyle w:val="BodyText"/>
        <w:ind w:left="720"/>
        <w:jc w:val="both"/>
        <w:rPr>
          <w:rFonts w:ascii="Trebuchet MS" w:hAnsi="Trebuchet MS"/>
          <w:sz w:val="22"/>
          <w:szCs w:val="22"/>
        </w:rPr>
      </w:pPr>
      <w:r w:rsidRPr="00FF3B1B">
        <w:rPr>
          <w:rFonts w:ascii="Trebuchet MS" w:hAnsi="Trebuchet MS"/>
          <w:sz w:val="22"/>
          <w:szCs w:val="22"/>
        </w:rPr>
        <w:t>Date received (valid from): 28 June 2023</w:t>
      </w:r>
      <w:r>
        <w:rPr>
          <w:rFonts w:ascii="Trebuchet MS" w:hAnsi="Trebuchet MS"/>
          <w:sz w:val="22"/>
          <w:szCs w:val="22"/>
        </w:rPr>
        <w:t xml:space="preserve">      </w:t>
      </w:r>
    </w:p>
    <w:p w:rsidR="006405AC" w:rsidRPr="00FF3B1B" w:rsidRDefault="006405AC" w:rsidP="006405AC">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AA01B4">
        <w:rPr>
          <w:rFonts w:ascii="Trebuchet MS" w:hAnsi="Trebuchet MS" w:cs="Trebuchet MS"/>
          <w:noProof/>
          <w:sz w:val="22"/>
          <w:szCs w:val="22"/>
        </w:rPr>
        <w:t xml:space="preserve">8 September </w:t>
      </w:r>
      <w:r w:rsidRPr="00FF3B1B">
        <w:rPr>
          <w:rFonts w:ascii="Trebuchet MS" w:hAnsi="Trebuchet MS" w:cs="Trebuchet MS"/>
          <w:sz w:val="22"/>
          <w:szCs w:val="22"/>
        </w:rPr>
        <w:t>2023</w:t>
      </w:r>
      <w:r w:rsidR="00AA01B4">
        <w:rPr>
          <w:rFonts w:ascii="Trebuchet MS" w:hAnsi="Trebuchet MS" w:cs="Trebuchet MS"/>
          <w:sz w:val="22"/>
          <w:szCs w:val="22"/>
        </w:rPr>
        <w:t xml:space="preserve"> (EXT)</w:t>
      </w:r>
      <w:r w:rsidRPr="00FF3B1B">
        <w:rPr>
          <w:rFonts w:ascii="Trebuchet MS" w:hAnsi="Trebuchet MS"/>
          <w:sz w:val="22"/>
          <w:szCs w:val="22"/>
        </w:rPr>
        <w:tab/>
      </w:r>
    </w:p>
    <w:p w:rsidR="006405AC" w:rsidRPr="00FF3B1B" w:rsidRDefault="006405AC">
      <w:pPr>
        <w:pStyle w:val="BodyText"/>
        <w:tabs>
          <w:tab w:val="left" w:pos="2552"/>
        </w:tabs>
        <w:ind w:left="2552" w:hanging="2552"/>
        <w:jc w:val="both"/>
        <w:rPr>
          <w:rFonts w:ascii="Trebuchet MS" w:hAnsi="Trebuchet MS"/>
          <w:b w:val="0"/>
          <w:sz w:val="22"/>
          <w:szCs w:val="22"/>
        </w:rPr>
      </w:pPr>
    </w:p>
    <w:p w:rsidR="006405AC" w:rsidRPr="00FF3B1B" w:rsidRDefault="006405AC">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6405AC" w:rsidRDefault="006405AC" w:rsidP="006405AC">
      <w:pPr>
        <w:ind w:left="720"/>
        <w:jc w:val="both"/>
        <w:rPr>
          <w:sz w:val="22"/>
          <w:szCs w:val="22"/>
        </w:rPr>
      </w:pPr>
      <w:r>
        <w:rPr>
          <w:sz w:val="22"/>
          <w:szCs w:val="22"/>
        </w:rPr>
        <w:t>The proposed site is a semi-detached two storey dwelling on the western side of Wardle Avenue which connects Armour Rd on the south and Armour Hill to the North. The road is characterised by deep green tree cover and dwellings of various styles and sizes with deep, long rear gardens.</w:t>
      </w:r>
      <w:r w:rsidR="00AA1DEA">
        <w:rPr>
          <w:sz w:val="22"/>
          <w:szCs w:val="22"/>
        </w:rPr>
        <w:t xml:space="preserve"> The trees are subject to TPOs.</w:t>
      </w:r>
    </w:p>
    <w:p w:rsidR="00037B55" w:rsidRPr="00FF3B1B" w:rsidRDefault="00F45975" w:rsidP="006405AC">
      <w:pPr>
        <w:ind w:left="720"/>
        <w:jc w:val="both"/>
        <w:rPr>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2025015</wp:posOffset>
                </wp:positionH>
                <wp:positionV relativeFrom="paragraph">
                  <wp:posOffset>2124710</wp:posOffset>
                </wp:positionV>
                <wp:extent cx="1149985" cy="608330"/>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4690">
                          <a:off x="0" y="0"/>
                          <a:ext cx="1149985" cy="60833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8C517" id="Rectangle 2" o:spid="_x0000_s1026" style="position:absolute;margin-left:159.45pt;margin-top:167.3pt;width:90.55pt;height:47.9pt;rotation:-2069507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" filled="f" strokecolor="red" strokeweight="2.5pt"/>
            </w:pict>
          </mc:Fallback>
        </mc:AlternateContent>
      </w:r>
      <w:r w:rsidRPr="00F05A1B">
        <w:rPr>
          <w:noProof/>
          <w:lang w:eastAsia="en-GB"/>
        </w:rPr>
        <w:drawing>
          <wp:inline distT="0" distB="0" distL="0" distR="0">
            <wp:extent cx="5676265" cy="299339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265" cy="2993390"/>
                    </a:xfrm>
                    <a:prstGeom prst="rect">
                      <a:avLst/>
                    </a:prstGeom>
                    <a:noFill/>
                    <a:ln>
                      <a:noFill/>
                    </a:ln>
                  </pic:spPr>
                </pic:pic>
              </a:graphicData>
            </a:graphic>
          </wp:inline>
        </w:drawing>
      </w:r>
    </w:p>
    <w:p w:rsidR="006405AC" w:rsidRDefault="006405AC">
      <w:pPr>
        <w:jc w:val="both"/>
        <w:rPr>
          <w:b/>
          <w:bCs/>
          <w:sz w:val="22"/>
          <w:szCs w:val="22"/>
        </w:rPr>
      </w:pPr>
    </w:p>
    <w:p w:rsidR="006405AC" w:rsidRPr="00FF3B1B" w:rsidRDefault="006405AC">
      <w:pPr>
        <w:jc w:val="both"/>
        <w:rPr>
          <w:b/>
          <w:bCs/>
          <w:sz w:val="22"/>
          <w:szCs w:val="22"/>
        </w:rPr>
      </w:pPr>
      <w:r w:rsidRPr="00FF3B1B">
        <w:rPr>
          <w:b/>
          <w:bCs/>
          <w:sz w:val="22"/>
          <w:szCs w:val="22"/>
        </w:rPr>
        <w:t>2.</w:t>
      </w:r>
      <w:r w:rsidRPr="00FF3B1B">
        <w:rPr>
          <w:b/>
          <w:bCs/>
          <w:sz w:val="22"/>
          <w:szCs w:val="22"/>
        </w:rPr>
        <w:tab/>
        <w:t>PROPOSAL AND SUPPORTING INFORMATION</w:t>
      </w:r>
    </w:p>
    <w:p w:rsidR="006405AC" w:rsidRPr="00FF3B1B" w:rsidRDefault="006405AC" w:rsidP="00AA1DEA">
      <w:pPr>
        <w:ind w:left="720"/>
        <w:rPr>
          <w:sz w:val="22"/>
          <w:szCs w:val="22"/>
        </w:rPr>
      </w:pPr>
      <w:r>
        <w:rPr>
          <w:sz w:val="22"/>
          <w:szCs w:val="22"/>
        </w:rPr>
        <w:t>Proposed</w:t>
      </w:r>
      <w:r w:rsidR="00AA1DEA">
        <w:rPr>
          <w:sz w:val="22"/>
          <w:szCs w:val="22"/>
        </w:rPr>
        <w:t xml:space="preserve"> is a</w:t>
      </w:r>
      <w:r>
        <w:rPr>
          <w:sz w:val="22"/>
          <w:szCs w:val="22"/>
        </w:rPr>
        <w:t xml:space="preserve"> single storey flat roof rear extension</w:t>
      </w:r>
      <w:r w:rsidR="00AA1DEA">
        <w:rPr>
          <w:sz w:val="22"/>
          <w:szCs w:val="22"/>
        </w:rPr>
        <w:t xml:space="preserve"> measuring 4m deep and running the full width of the existing dwelling,</w:t>
      </w:r>
      <w:r>
        <w:rPr>
          <w:sz w:val="22"/>
          <w:szCs w:val="22"/>
        </w:rPr>
        <w:t xml:space="preserve"> </w:t>
      </w:r>
      <w:r w:rsidR="00AA1DEA">
        <w:rPr>
          <w:sz w:val="22"/>
          <w:szCs w:val="22"/>
        </w:rPr>
        <w:t xml:space="preserve">with the installation of </w:t>
      </w:r>
      <w:r>
        <w:rPr>
          <w:sz w:val="22"/>
          <w:szCs w:val="22"/>
        </w:rPr>
        <w:t xml:space="preserve">bifold doors and roof lanterns. </w:t>
      </w:r>
    </w:p>
    <w:p w:rsidR="006405AC" w:rsidRPr="00FF3B1B" w:rsidRDefault="006405AC">
      <w:pPr>
        <w:pStyle w:val="BodyText"/>
        <w:ind w:left="720" w:hanging="720"/>
        <w:jc w:val="both"/>
        <w:rPr>
          <w:rFonts w:ascii="Trebuchet MS" w:hAnsi="Trebuchet MS"/>
          <w:b w:val="0"/>
          <w:sz w:val="22"/>
          <w:szCs w:val="22"/>
        </w:rPr>
      </w:pPr>
    </w:p>
    <w:p w:rsidR="006405AC" w:rsidRDefault="006405AC" w:rsidP="00AA1DEA">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A1DEA">
        <w:rPr>
          <w:rFonts w:ascii="Trebuchet MS" w:hAnsi="Trebuchet MS"/>
          <w:b w:val="0"/>
          <w:bCs/>
          <w:sz w:val="22"/>
          <w:szCs w:val="22"/>
        </w:rPr>
        <w:t xml:space="preserve"> received 28/6/2023</w:t>
      </w:r>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HATTAM-0523-01: Existing Ground Floor Plan</w:t>
      </w:r>
      <w:bookmarkStart w:id="0" w:name="_GoBack"/>
      <w:bookmarkEnd w:id="0"/>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HATTAM-0523-02: Existing Elevations</w:t>
      </w:r>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HATTAM-0523-03 Rev A: Proposed Ground Floor Plan</w:t>
      </w:r>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HATTAM-0523-04 Rev A: Proposed Elevations</w:t>
      </w:r>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HATTAM-0523-05 Rev A: Proposed Section A-A</w:t>
      </w:r>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HATTAM-0523-06: Location Plan</w:t>
      </w:r>
    </w:p>
    <w:p w:rsidR="00AA1DEA" w:rsidRDefault="00AA1DEA" w:rsidP="00AA1DEA">
      <w:pPr>
        <w:pStyle w:val="BodyText"/>
        <w:ind w:left="720"/>
        <w:jc w:val="both"/>
        <w:rPr>
          <w:rFonts w:ascii="Trebuchet MS" w:hAnsi="Trebuchet MS"/>
          <w:b w:val="0"/>
          <w:bCs/>
          <w:sz w:val="22"/>
          <w:szCs w:val="22"/>
        </w:rPr>
      </w:pPr>
      <w:r>
        <w:rPr>
          <w:rFonts w:ascii="Trebuchet MS" w:hAnsi="Trebuchet MS"/>
          <w:b w:val="0"/>
          <w:bCs/>
          <w:sz w:val="22"/>
          <w:szCs w:val="22"/>
        </w:rPr>
        <w:t>HATTAM-0523-07: Block Plan</w:t>
      </w:r>
    </w:p>
    <w:p w:rsidR="00564EEA" w:rsidRDefault="00564EEA" w:rsidP="00AA1DEA">
      <w:pPr>
        <w:pStyle w:val="BodyText"/>
        <w:ind w:left="720"/>
        <w:jc w:val="both"/>
        <w:rPr>
          <w:rFonts w:ascii="Trebuchet MS" w:hAnsi="Trebuchet MS"/>
          <w:b w:val="0"/>
          <w:bCs/>
          <w:sz w:val="22"/>
          <w:szCs w:val="22"/>
        </w:rPr>
      </w:pPr>
    </w:p>
    <w:p w:rsidR="00564EEA" w:rsidRDefault="00F45975" w:rsidP="00AA1DEA">
      <w:pPr>
        <w:pStyle w:val="BodyText"/>
        <w:ind w:left="720"/>
        <w:jc w:val="both"/>
        <w:rPr>
          <w:rFonts w:ascii="Trebuchet MS" w:hAnsi="Trebuchet MS"/>
          <w:b w:val="0"/>
          <w:bCs/>
          <w:sz w:val="22"/>
          <w:szCs w:val="22"/>
        </w:rPr>
      </w:pPr>
      <w:r w:rsidRPr="00F05A1B">
        <w:rPr>
          <w:noProof/>
          <w:lang w:eastAsia="en-GB"/>
        </w:rPr>
        <w:lastRenderedPageBreak/>
        <w:drawing>
          <wp:inline distT="0" distB="0" distL="0" distR="0">
            <wp:extent cx="1845945" cy="19494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5945" cy="1949450"/>
                    </a:xfrm>
                    <a:prstGeom prst="rect">
                      <a:avLst/>
                    </a:prstGeom>
                    <a:noFill/>
                    <a:ln>
                      <a:noFill/>
                    </a:ln>
                  </pic:spPr>
                </pic:pic>
              </a:graphicData>
            </a:graphic>
          </wp:inline>
        </w:drawing>
      </w:r>
      <w:r w:rsidR="00564EEA">
        <w:rPr>
          <w:noProof/>
          <w:lang w:eastAsia="en-GB"/>
        </w:rPr>
        <w:t xml:space="preserve">                       </w:t>
      </w:r>
      <w:r w:rsidRPr="00F05A1B">
        <w:rPr>
          <w:noProof/>
          <w:lang w:eastAsia="en-GB"/>
        </w:rPr>
        <w:drawing>
          <wp:inline distT="0" distB="0" distL="0" distR="0">
            <wp:extent cx="2570480" cy="188087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0480" cy="1880870"/>
                    </a:xfrm>
                    <a:prstGeom prst="rect">
                      <a:avLst/>
                    </a:prstGeom>
                    <a:noFill/>
                    <a:ln>
                      <a:noFill/>
                    </a:ln>
                  </pic:spPr>
                </pic:pic>
              </a:graphicData>
            </a:graphic>
          </wp:inline>
        </w:drawing>
      </w:r>
    </w:p>
    <w:p w:rsidR="00AA1DEA" w:rsidRDefault="00AA1DEA" w:rsidP="006021D8">
      <w:pPr>
        <w:pStyle w:val="BodyText"/>
        <w:jc w:val="both"/>
        <w:rPr>
          <w:rFonts w:ascii="Trebuchet MS" w:hAnsi="Trebuchet MS"/>
          <w:b w:val="0"/>
          <w:bCs/>
          <w:sz w:val="22"/>
          <w:szCs w:val="22"/>
        </w:rPr>
      </w:pPr>
    </w:p>
    <w:p w:rsidR="006405AC" w:rsidRDefault="00564EEA">
      <w:pPr>
        <w:pStyle w:val="BodyText"/>
        <w:ind w:left="720" w:hanging="720"/>
        <w:jc w:val="both"/>
        <w:rPr>
          <w:rFonts w:ascii="Trebuchet MS" w:hAnsi="Trebuchet MS"/>
          <w:b w:val="0"/>
          <w:sz w:val="22"/>
          <w:szCs w:val="22"/>
          <w:u w:val="single"/>
        </w:rPr>
      </w:pPr>
      <w:r>
        <w:rPr>
          <w:rFonts w:ascii="Trebuchet MS" w:hAnsi="Trebuchet MS"/>
          <w:b w:val="0"/>
          <w:sz w:val="22"/>
          <w:szCs w:val="22"/>
        </w:rPr>
        <w:t xml:space="preserve">                 </w:t>
      </w:r>
      <w:r w:rsidRPr="00564EEA">
        <w:rPr>
          <w:rFonts w:ascii="Trebuchet MS" w:hAnsi="Trebuchet MS"/>
          <w:b w:val="0"/>
          <w:sz w:val="22"/>
          <w:szCs w:val="22"/>
          <w:u w:val="single"/>
        </w:rPr>
        <w:t>Existing Ground Floor Plan</w:t>
      </w:r>
      <w:r w:rsidRPr="00564EEA">
        <w:rPr>
          <w:rFonts w:ascii="Trebuchet MS" w:hAnsi="Trebuchet MS"/>
          <w:b w:val="0"/>
          <w:sz w:val="22"/>
          <w:szCs w:val="22"/>
        </w:rPr>
        <w:t xml:space="preserve">                              </w:t>
      </w:r>
      <w:r w:rsidRPr="00564EEA">
        <w:rPr>
          <w:rFonts w:ascii="Trebuchet MS" w:hAnsi="Trebuchet MS"/>
          <w:b w:val="0"/>
          <w:sz w:val="22"/>
          <w:szCs w:val="22"/>
          <w:u w:val="single"/>
        </w:rPr>
        <w:t>Proposed Ground Floor Plan</w:t>
      </w:r>
    </w:p>
    <w:p w:rsidR="00E35A86" w:rsidRDefault="00E35A86">
      <w:pPr>
        <w:pStyle w:val="BodyText"/>
        <w:ind w:left="720" w:hanging="720"/>
        <w:jc w:val="both"/>
        <w:rPr>
          <w:rFonts w:ascii="Trebuchet MS" w:hAnsi="Trebuchet MS"/>
          <w:b w:val="0"/>
          <w:sz w:val="22"/>
          <w:szCs w:val="22"/>
          <w:u w:val="single"/>
        </w:rPr>
      </w:pPr>
    </w:p>
    <w:p w:rsidR="00E35A86" w:rsidRDefault="00F45975">
      <w:pPr>
        <w:pStyle w:val="BodyText"/>
        <w:ind w:left="720" w:hanging="720"/>
        <w:jc w:val="both"/>
        <w:rPr>
          <w:rFonts w:ascii="Trebuchet MS" w:hAnsi="Trebuchet MS"/>
          <w:b w:val="0"/>
          <w:sz w:val="22"/>
          <w:szCs w:val="22"/>
        </w:rPr>
      </w:pPr>
      <w:r w:rsidRPr="00E35A86">
        <w:rPr>
          <w:rFonts w:ascii="Trebuchet MS" w:hAnsi="Trebuchet MS"/>
          <w:b w:val="0"/>
          <w:noProof/>
          <w:sz w:val="22"/>
          <w:szCs w:val="22"/>
          <w:lang w:eastAsia="en-GB"/>
        </w:rPr>
        <w:drawing>
          <wp:inline distT="0" distB="0" distL="0" distR="0">
            <wp:extent cx="6116320" cy="1708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6320" cy="1708150"/>
                    </a:xfrm>
                    <a:prstGeom prst="rect">
                      <a:avLst/>
                    </a:prstGeom>
                    <a:noFill/>
                    <a:ln>
                      <a:noFill/>
                    </a:ln>
                  </pic:spPr>
                </pic:pic>
              </a:graphicData>
            </a:graphic>
          </wp:inline>
        </w:drawing>
      </w:r>
    </w:p>
    <w:p w:rsidR="00E35A86" w:rsidRDefault="00E35A86">
      <w:pPr>
        <w:pStyle w:val="BodyText"/>
        <w:ind w:left="720" w:hanging="720"/>
        <w:jc w:val="both"/>
        <w:rPr>
          <w:rFonts w:ascii="Trebuchet MS" w:hAnsi="Trebuchet MS"/>
          <w:b w:val="0"/>
          <w:sz w:val="22"/>
          <w:szCs w:val="22"/>
        </w:rPr>
      </w:pPr>
    </w:p>
    <w:p w:rsidR="00E35A86" w:rsidRDefault="00E35A86" w:rsidP="00E35A86">
      <w:pPr>
        <w:pStyle w:val="BodyText"/>
        <w:ind w:left="720" w:hanging="720"/>
        <w:jc w:val="center"/>
        <w:rPr>
          <w:rFonts w:ascii="Trebuchet MS" w:hAnsi="Trebuchet MS"/>
          <w:b w:val="0"/>
          <w:sz w:val="22"/>
          <w:szCs w:val="22"/>
          <w:u w:val="single"/>
        </w:rPr>
      </w:pPr>
      <w:r w:rsidRPr="00E35A86">
        <w:rPr>
          <w:rFonts w:ascii="Trebuchet MS" w:hAnsi="Trebuchet MS"/>
          <w:b w:val="0"/>
          <w:sz w:val="22"/>
          <w:szCs w:val="22"/>
          <w:u w:val="single"/>
        </w:rPr>
        <w:t>Proposed Elevations</w:t>
      </w:r>
    </w:p>
    <w:p w:rsidR="00E35A86" w:rsidRDefault="00E35A86" w:rsidP="00E35A86">
      <w:pPr>
        <w:pStyle w:val="BodyText"/>
        <w:ind w:left="720" w:hanging="720"/>
        <w:jc w:val="center"/>
        <w:rPr>
          <w:rFonts w:ascii="Trebuchet MS" w:hAnsi="Trebuchet MS"/>
          <w:b w:val="0"/>
          <w:sz w:val="22"/>
          <w:szCs w:val="22"/>
          <w:u w:val="single"/>
        </w:rPr>
      </w:pPr>
    </w:p>
    <w:p w:rsidR="00E35A86" w:rsidRPr="00E35A86" w:rsidRDefault="00E35A86" w:rsidP="00E35A86">
      <w:pPr>
        <w:pStyle w:val="BodyText"/>
        <w:ind w:left="720" w:hanging="720"/>
        <w:jc w:val="center"/>
        <w:rPr>
          <w:rFonts w:ascii="Trebuchet MS" w:hAnsi="Trebuchet MS"/>
          <w:b w:val="0"/>
          <w:sz w:val="22"/>
          <w:szCs w:val="22"/>
          <w:u w:val="single"/>
        </w:rPr>
      </w:pPr>
    </w:p>
    <w:p w:rsidR="006405AC" w:rsidRPr="00FF3B1B" w:rsidRDefault="006405AC">
      <w:pPr>
        <w:numPr>
          <w:ilvl w:val="0"/>
          <w:numId w:val="24"/>
        </w:numPr>
        <w:ind w:hanging="720"/>
        <w:jc w:val="both"/>
        <w:rPr>
          <w:b/>
          <w:bCs/>
          <w:sz w:val="22"/>
          <w:szCs w:val="22"/>
        </w:rPr>
      </w:pPr>
      <w:r w:rsidRPr="00FF3B1B">
        <w:rPr>
          <w:b/>
          <w:bCs/>
          <w:sz w:val="22"/>
          <w:szCs w:val="22"/>
        </w:rPr>
        <w:t xml:space="preserve">RELEVANT PLANNING HISTORY </w:t>
      </w:r>
    </w:p>
    <w:p w:rsidR="006405AC" w:rsidRPr="006021D8" w:rsidRDefault="006021D8" w:rsidP="006021D8">
      <w:pPr>
        <w:ind w:left="720"/>
        <w:jc w:val="both"/>
        <w:rPr>
          <w:bCs/>
          <w:sz w:val="22"/>
          <w:szCs w:val="22"/>
        </w:rPr>
      </w:pPr>
      <w:r w:rsidRPr="006021D8">
        <w:rPr>
          <w:bCs/>
          <w:sz w:val="22"/>
          <w:szCs w:val="22"/>
        </w:rPr>
        <w:t>None</w:t>
      </w:r>
    </w:p>
    <w:p w:rsidR="006405AC" w:rsidRPr="00FF3B1B" w:rsidRDefault="006405AC" w:rsidP="006405AC">
      <w:pPr>
        <w:jc w:val="both"/>
        <w:rPr>
          <w:b/>
          <w:bCs/>
          <w:sz w:val="22"/>
          <w:szCs w:val="22"/>
        </w:rPr>
      </w:pPr>
    </w:p>
    <w:p w:rsidR="006405AC" w:rsidRPr="00FF3B1B" w:rsidRDefault="006405AC">
      <w:pPr>
        <w:jc w:val="both"/>
        <w:rPr>
          <w:b/>
          <w:bCs/>
          <w:sz w:val="22"/>
          <w:szCs w:val="22"/>
        </w:rPr>
      </w:pPr>
      <w:r w:rsidRPr="00FF3B1B">
        <w:rPr>
          <w:b/>
          <w:bCs/>
          <w:sz w:val="22"/>
          <w:szCs w:val="22"/>
        </w:rPr>
        <w:t>4.</w:t>
      </w:r>
      <w:r w:rsidRPr="00FF3B1B">
        <w:rPr>
          <w:b/>
          <w:bCs/>
          <w:sz w:val="22"/>
          <w:szCs w:val="22"/>
        </w:rPr>
        <w:tab/>
        <w:t>CONSULTATIONS</w:t>
      </w:r>
    </w:p>
    <w:p w:rsidR="006405AC" w:rsidRPr="00FF3B1B" w:rsidRDefault="006405AC">
      <w:pPr>
        <w:jc w:val="both"/>
        <w:rPr>
          <w:b/>
          <w:bCs/>
          <w:sz w:val="22"/>
          <w:szCs w:val="22"/>
        </w:rPr>
      </w:pPr>
    </w:p>
    <w:p w:rsidR="006405AC" w:rsidRDefault="006405AC" w:rsidP="006021D8">
      <w:pPr>
        <w:ind w:left="720"/>
        <w:jc w:val="both"/>
        <w:rPr>
          <w:sz w:val="22"/>
          <w:szCs w:val="22"/>
        </w:rPr>
      </w:pPr>
      <w:r w:rsidRPr="00FF3B1B">
        <w:rPr>
          <w:sz w:val="22"/>
          <w:szCs w:val="22"/>
        </w:rPr>
        <w:t>The following addresses were consulted by letter.</w:t>
      </w:r>
    </w:p>
    <w:p w:rsidR="006405AC" w:rsidRPr="00FF3B1B" w:rsidRDefault="006405AC" w:rsidP="006021D8">
      <w:pPr>
        <w:ind w:left="720"/>
        <w:jc w:val="both"/>
        <w:rPr>
          <w:b/>
          <w:sz w:val="22"/>
          <w:szCs w:val="22"/>
        </w:rPr>
      </w:pPr>
    </w:p>
    <w:p w:rsidR="006405AC" w:rsidRPr="00FF3B1B" w:rsidRDefault="006405AC" w:rsidP="006021D8">
      <w:pPr>
        <w:ind w:left="720"/>
        <w:rPr>
          <w:sz w:val="22"/>
          <w:szCs w:val="22"/>
        </w:rPr>
      </w:pPr>
      <w:r w:rsidRPr="00FF3B1B">
        <w:rPr>
          <w:sz w:val="22"/>
          <w:szCs w:val="22"/>
        </w:rPr>
        <w:t>38 Newbery Close, Tilehurst, Reading, Berkshire, RG31 6JN</w:t>
      </w:r>
    </w:p>
    <w:p w:rsidR="006405AC" w:rsidRPr="00FF3B1B" w:rsidRDefault="006405AC" w:rsidP="006021D8">
      <w:pPr>
        <w:ind w:left="720"/>
        <w:rPr>
          <w:sz w:val="22"/>
          <w:szCs w:val="22"/>
        </w:rPr>
      </w:pPr>
      <w:r>
        <w:rPr>
          <w:sz w:val="22"/>
          <w:szCs w:val="22"/>
        </w:rPr>
        <w:t>15 Wardle Avenue, Reading</w:t>
      </w:r>
    </w:p>
    <w:p w:rsidR="006405AC" w:rsidRPr="00FF3B1B" w:rsidRDefault="006405AC" w:rsidP="006021D8">
      <w:pPr>
        <w:ind w:left="720"/>
        <w:rPr>
          <w:sz w:val="22"/>
          <w:szCs w:val="22"/>
        </w:rPr>
      </w:pPr>
      <w:r w:rsidRPr="00FF3B1B">
        <w:rPr>
          <w:sz w:val="22"/>
          <w:szCs w:val="22"/>
        </w:rPr>
        <w:t>19 Wardle Avenue, Tilehurst, Reading, RG31 6JR</w:t>
      </w:r>
    </w:p>
    <w:p w:rsidR="003B0F61" w:rsidRDefault="006405AC" w:rsidP="00150C96">
      <w:pPr>
        <w:ind w:left="720"/>
        <w:rPr>
          <w:sz w:val="22"/>
          <w:szCs w:val="22"/>
        </w:rPr>
      </w:pPr>
      <w:r w:rsidRPr="00FF3B1B">
        <w:rPr>
          <w:sz w:val="22"/>
          <w:szCs w:val="22"/>
        </w:rPr>
        <w:t>40 Newbery Close, Tilehurst, RG31 6JN</w:t>
      </w:r>
    </w:p>
    <w:p w:rsidR="003B0F61" w:rsidRDefault="003B0F61" w:rsidP="006021D8">
      <w:pPr>
        <w:ind w:left="1440" w:hanging="720"/>
        <w:jc w:val="both"/>
        <w:rPr>
          <w:sz w:val="22"/>
          <w:szCs w:val="22"/>
        </w:rPr>
      </w:pPr>
    </w:p>
    <w:p w:rsidR="003B0F61" w:rsidRDefault="001314B5" w:rsidP="001314B5">
      <w:pPr>
        <w:ind w:left="1440" w:hanging="720"/>
        <w:jc w:val="both"/>
        <w:rPr>
          <w:sz w:val="22"/>
          <w:szCs w:val="22"/>
        </w:rPr>
      </w:pPr>
      <w:r>
        <w:rPr>
          <w:sz w:val="22"/>
          <w:szCs w:val="22"/>
        </w:rPr>
        <w:t>Consultation was undertaken with Trees:</w:t>
      </w:r>
    </w:p>
    <w:p w:rsidR="001314B5" w:rsidRDefault="001314B5" w:rsidP="001314B5">
      <w:pPr>
        <w:ind w:left="1440" w:hanging="720"/>
        <w:jc w:val="both"/>
        <w:rPr>
          <w:sz w:val="22"/>
          <w:szCs w:val="22"/>
          <w:u w:val="single"/>
        </w:rPr>
      </w:pPr>
    </w:p>
    <w:p w:rsidR="006405AC" w:rsidRDefault="006021D8" w:rsidP="006021D8">
      <w:pPr>
        <w:ind w:left="720"/>
        <w:jc w:val="both"/>
        <w:rPr>
          <w:sz w:val="22"/>
          <w:szCs w:val="22"/>
          <w:u w:val="single"/>
        </w:rPr>
      </w:pPr>
      <w:r w:rsidRPr="006021D8">
        <w:rPr>
          <w:sz w:val="22"/>
          <w:szCs w:val="22"/>
          <w:u w:val="single"/>
        </w:rPr>
        <w:t>Tr</w:t>
      </w:r>
      <w:r w:rsidR="001314B5">
        <w:rPr>
          <w:sz w:val="22"/>
          <w:szCs w:val="22"/>
          <w:u w:val="single"/>
        </w:rPr>
        <w:t>ees</w:t>
      </w:r>
    </w:p>
    <w:p w:rsidR="006021D8" w:rsidRPr="003B0F61" w:rsidRDefault="006021D8" w:rsidP="003B0F61">
      <w:pPr>
        <w:overflowPunct/>
        <w:autoSpaceDE/>
        <w:autoSpaceDN/>
        <w:adjustRightInd/>
        <w:ind w:left="720"/>
        <w:textAlignment w:val="auto"/>
        <w:rPr>
          <w:rFonts w:cs="Calibri"/>
          <w:i/>
          <w:sz w:val="22"/>
          <w:szCs w:val="22"/>
        </w:rPr>
      </w:pPr>
      <w:r w:rsidRPr="003B0F61">
        <w:rPr>
          <w:rFonts w:cs="Calibri"/>
          <w:i/>
          <w:sz w:val="22"/>
          <w:szCs w:val="22"/>
        </w:rPr>
        <w:t>I have no objections.  However all the street trees are subject to a TPO hence the following 2 Informatives would be prudent:</w:t>
      </w:r>
    </w:p>
    <w:p w:rsidR="006021D8" w:rsidRPr="003B0F61" w:rsidRDefault="006021D8" w:rsidP="003B0F61">
      <w:pPr>
        <w:overflowPunct/>
        <w:autoSpaceDE/>
        <w:autoSpaceDN/>
        <w:adjustRightInd/>
        <w:ind w:left="720"/>
        <w:textAlignment w:val="auto"/>
        <w:rPr>
          <w:rFonts w:cs="Calibri"/>
          <w:i/>
          <w:sz w:val="22"/>
          <w:szCs w:val="22"/>
        </w:rPr>
      </w:pPr>
    </w:p>
    <w:p w:rsidR="006021D8" w:rsidRPr="003B0F61" w:rsidRDefault="006021D8" w:rsidP="003B0F61">
      <w:pPr>
        <w:overflowPunct/>
        <w:adjustRightInd/>
        <w:ind w:left="720"/>
        <w:textAlignment w:val="auto"/>
        <w:rPr>
          <w:rFonts w:cs="Calibri"/>
          <w:b/>
          <w:bCs/>
          <w:i/>
          <w:sz w:val="22"/>
          <w:szCs w:val="22"/>
        </w:rPr>
      </w:pPr>
      <w:r w:rsidRPr="003B0F61">
        <w:rPr>
          <w:rFonts w:cs="Calibri"/>
          <w:b/>
          <w:bCs/>
          <w:i/>
          <w:sz w:val="22"/>
          <w:szCs w:val="22"/>
        </w:rPr>
        <w:t>I15      Advice about TPO.d trees and trees in Conservation Areas</w:t>
      </w:r>
    </w:p>
    <w:p w:rsidR="006021D8" w:rsidRPr="003B0F61" w:rsidRDefault="006021D8" w:rsidP="003B0F61">
      <w:pPr>
        <w:overflowPunct/>
        <w:autoSpaceDE/>
        <w:autoSpaceDN/>
        <w:adjustRightInd/>
        <w:ind w:left="720"/>
        <w:textAlignment w:val="auto"/>
        <w:rPr>
          <w:rFonts w:cs="Calibri"/>
          <w:i/>
          <w:sz w:val="22"/>
          <w:szCs w:val="22"/>
        </w:rPr>
      </w:pPr>
      <w:r w:rsidRPr="003B0F61">
        <w:rPr>
          <w:rFonts w:cs="Calibri"/>
          <w:i/>
          <w:sz w:val="22"/>
          <w:szCs w:val="22"/>
        </w:rPr>
        <w:t>You are advised that no tree works are approved by virtue of this consent.  Any works to trees subject to a Tree Preservation Order or to Conservation Area status will require submission of a tree works application or Section 211 Notice respectively.</w:t>
      </w:r>
    </w:p>
    <w:p w:rsidR="006021D8" w:rsidRPr="003B0F61" w:rsidRDefault="006021D8" w:rsidP="003B0F61">
      <w:pPr>
        <w:overflowPunct/>
        <w:adjustRightInd/>
        <w:ind w:left="720"/>
        <w:textAlignment w:val="auto"/>
        <w:rPr>
          <w:rFonts w:cs="Calibri"/>
          <w:b/>
          <w:bCs/>
          <w:i/>
          <w:sz w:val="22"/>
          <w:szCs w:val="22"/>
        </w:rPr>
      </w:pPr>
    </w:p>
    <w:p w:rsidR="006021D8" w:rsidRPr="003B0F61" w:rsidRDefault="006021D8" w:rsidP="003B0F61">
      <w:pPr>
        <w:overflowPunct/>
        <w:adjustRightInd/>
        <w:ind w:left="720"/>
        <w:textAlignment w:val="auto"/>
        <w:rPr>
          <w:rFonts w:cs="Calibri"/>
          <w:b/>
          <w:bCs/>
          <w:i/>
          <w:sz w:val="22"/>
          <w:szCs w:val="22"/>
        </w:rPr>
      </w:pPr>
      <w:r w:rsidRPr="003B0F61">
        <w:rPr>
          <w:rFonts w:cs="Calibri"/>
          <w:b/>
          <w:bCs/>
          <w:i/>
          <w:sz w:val="22"/>
          <w:szCs w:val="22"/>
        </w:rPr>
        <w:t xml:space="preserve">I24/17 Do not damage the verge </w:t>
      </w:r>
    </w:p>
    <w:p w:rsidR="006021D8" w:rsidRPr="003B0F61" w:rsidRDefault="006021D8" w:rsidP="003B0F61">
      <w:pPr>
        <w:overflowPunct/>
        <w:autoSpaceDE/>
        <w:autoSpaceDN/>
        <w:adjustRightInd/>
        <w:ind w:left="720"/>
        <w:textAlignment w:val="auto"/>
        <w:rPr>
          <w:rFonts w:cs="Calibri"/>
          <w:i/>
          <w:sz w:val="22"/>
          <w:szCs w:val="22"/>
        </w:rPr>
      </w:pPr>
      <w:r w:rsidRPr="003B0F61">
        <w:rPr>
          <w:rFonts w:cs="Calibri"/>
          <w:i/>
          <w:sz w:val="22"/>
          <w:szCs w:val="22"/>
        </w:rPr>
        <w:t>You are advised to avoid the use of the grass verges for development related activity, e.g. storage of materials, due to the resulting potential harm to important street trees.</w:t>
      </w:r>
    </w:p>
    <w:p w:rsidR="006021D8" w:rsidRPr="006021D8" w:rsidRDefault="006021D8" w:rsidP="00E360AA">
      <w:pPr>
        <w:jc w:val="both"/>
        <w:rPr>
          <w:sz w:val="22"/>
          <w:szCs w:val="22"/>
          <w:u w:val="single"/>
        </w:rPr>
      </w:pPr>
    </w:p>
    <w:p w:rsidR="006405AC" w:rsidRPr="003B0F61" w:rsidRDefault="006405AC" w:rsidP="003B0F61">
      <w:pPr>
        <w:overflowPunct/>
        <w:adjustRightInd/>
        <w:ind w:left="720"/>
        <w:jc w:val="both"/>
        <w:textAlignment w:val="auto"/>
        <w:rPr>
          <w:rFonts w:cs="Arial"/>
          <w:b/>
          <w:bCs/>
          <w:color w:val="000000"/>
          <w:sz w:val="22"/>
          <w:szCs w:val="22"/>
          <w:lang w:eastAsia="en-GB"/>
        </w:rPr>
      </w:pPr>
      <w:r w:rsidRPr="003B0F61">
        <w:rPr>
          <w:rFonts w:cs="Arial"/>
          <w:b/>
          <w:bCs/>
          <w:color w:val="000000"/>
          <w:sz w:val="22"/>
          <w:szCs w:val="22"/>
          <w:lang w:eastAsia="en-GB"/>
        </w:rPr>
        <w:t>Equality Act 2010:</w:t>
      </w:r>
    </w:p>
    <w:p w:rsidR="006405AC" w:rsidRPr="003B0F61" w:rsidRDefault="006405AC" w:rsidP="003B0F61">
      <w:pPr>
        <w:overflowPunct/>
        <w:adjustRightInd/>
        <w:ind w:left="720"/>
        <w:jc w:val="both"/>
        <w:textAlignment w:val="auto"/>
        <w:rPr>
          <w:rFonts w:cs="Arial"/>
          <w:bCs/>
          <w:color w:val="000000"/>
          <w:sz w:val="22"/>
          <w:szCs w:val="22"/>
          <w:lang w:eastAsia="en-GB"/>
        </w:rPr>
      </w:pPr>
      <w:r w:rsidRPr="003B0F61">
        <w:rPr>
          <w:rFonts w:cs="Arial"/>
          <w:bCs/>
          <w:color w:val="000000"/>
          <w:sz w:val="22"/>
          <w:szCs w:val="22"/>
          <w:lang w:eastAsia="en-GB"/>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405AC" w:rsidRPr="00FF3B1B" w:rsidRDefault="006405AC">
      <w:pPr>
        <w:ind w:left="720" w:hanging="720"/>
        <w:jc w:val="both"/>
        <w:rPr>
          <w:sz w:val="22"/>
          <w:szCs w:val="22"/>
        </w:rPr>
      </w:pPr>
    </w:p>
    <w:p w:rsidR="006405AC" w:rsidRPr="00FF3B1B" w:rsidRDefault="003B0F61" w:rsidP="006405AC">
      <w:pPr>
        <w:numPr>
          <w:ilvl w:val="0"/>
          <w:numId w:val="29"/>
        </w:numPr>
        <w:jc w:val="both"/>
        <w:rPr>
          <w:b/>
          <w:bCs/>
          <w:sz w:val="22"/>
          <w:szCs w:val="22"/>
          <w:lang w:eastAsia="en-GB"/>
        </w:rPr>
      </w:pPr>
      <w:r>
        <w:rPr>
          <w:b/>
          <w:bCs/>
          <w:sz w:val="22"/>
          <w:szCs w:val="22"/>
          <w:lang w:eastAsia="en-GB"/>
        </w:rPr>
        <w:t xml:space="preserve">      </w:t>
      </w:r>
      <w:r w:rsidR="006405AC" w:rsidRPr="00FF3B1B">
        <w:rPr>
          <w:b/>
          <w:bCs/>
          <w:sz w:val="22"/>
          <w:szCs w:val="22"/>
          <w:lang w:eastAsia="en-GB"/>
        </w:rPr>
        <w:t>LEGAL AND PLANNING POLICY CONTEXT</w:t>
      </w:r>
    </w:p>
    <w:p w:rsidR="006405AC" w:rsidRPr="00FF3B1B" w:rsidRDefault="006405AC" w:rsidP="006405AC">
      <w:pPr>
        <w:ind w:left="720"/>
        <w:jc w:val="both"/>
        <w:rPr>
          <w:bCs/>
          <w:sz w:val="22"/>
          <w:szCs w:val="22"/>
          <w:lang w:eastAsia="en-GB"/>
        </w:rPr>
      </w:pPr>
    </w:p>
    <w:p w:rsidR="006405AC" w:rsidRPr="00FF3B1B" w:rsidRDefault="006405AC" w:rsidP="003B0F6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405AC" w:rsidRDefault="006405AC" w:rsidP="006405AC">
      <w:pPr>
        <w:jc w:val="both"/>
        <w:rPr>
          <w:rFonts w:cs="TrebuchetMS"/>
          <w:sz w:val="22"/>
          <w:szCs w:val="22"/>
          <w:highlight w:val="yellow"/>
          <w:lang w:eastAsia="en-GB"/>
        </w:rPr>
      </w:pPr>
    </w:p>
    <w:p w:rsidR="006405AC" w:rsidRPr="00FF3B1B" w:rsidRDefault="006405AC" w:rsidP="003B0F61">
      <w:pPr>
        <w:ind w:left="720"/>
        <w:jc w:val="both"/>
        <w:rPr>
          <w:b/>
          <w:bCs/>
          <w:sz w:val="22"/>
          <w:szCs w:val="22"/>
          <w:u w:val="single"/>
          <w:lang w:eastAsia="en-GB"/>
        </w:rPr>
      </w:pPr>
      <w:r w:rsidRPr="00FF3B1B">
        <w:rPr>
          <w:b/>
          <w:bCs/>
          <w:sz w:val="22"/>
          <w:szCs w:val="22"/>
          <w:u w:val="single"/>
          <w:lang w:eastAsia="en-GB"/>
        </w:rPr>
        <w:t>National Policy</w:t>
      </w:r>
    </w:p>
    <w:p w:rsidR="006405AC" w:rsidRPr="00FF3B1B" w:rsidRDefault="006405AC" w:rsidP="003B0F61">
      <w:pPr>
        <w:ind w:left="720"/>
        <w:jc w:val="both"/>
        <w:rPr>
          <w:bCs/>
          <w:sz w:val="22"/>
          <w:szCs w:val="22"/>
          <w:lang w:eastAsia="en-GB"/>
        </w:rPr>
      </w:pPr>
      <w:r w:rsidRPr="00FF3B1B">
        <w:rPr>
          <w:bCs/>
          <w:sz w:val="22"/>
          <w:szCs w:val="22"/>
          <w:lang w:eastAsia="en-GB"/>
        </w:rPr>
        <w:t xml:space="preserve">National Planning Policy Framework </w:t>
      </w:r>
    </w:p>
    <w:p w:rsidR="006405AC" w:rsidRPr="00FF3B1B" w:rsidRDefault="006405AC" w:rsidP="003B0F61">
      <w:pPr>
        <w:ind w:left="720"/>
        <w:jc w:val="both"/>
        <w:rPr>
          <w:bCs/>
          <w:sz w:val="22"/>
          <w:szCs w:val="22"/>
          <w:lang w:eastAsia="en-GB"/>
        </w:rPr>
      </w:pPr>
      <w:r w:rsidRPr="00FF3B1B">
        <w:rPr>
          <w:bCs/>
          <w:sz w:val="22"/>
          <w:szCs w:val="22"/>
          <w:lang w:eastAsia="en-GB"/>
        </w:rPr>
        <w:t>National Planning Practice Guidance</w:t>
      </w:r>
    </w:p>
    <w:p w:rsidR="006405AC" w:rsidRDefault="006405AC" w:rsidP="003B0F61">
      <w:pPr>
        <w:ind w:left="720"/>
        <w:jc w:val="both"/>
        <w:rPr>
          <w:bCs/>
          <w:sz w:val="22"/>
          <w:szCs w:val="22"/>
          <w:lang w:eastAsia="en-GB"/>
        </w:rPr>
      </w:pPr>
    </w:p>
    <w:p w:rsidR="006405AC" w:rsidRPr="00FF3B1B" w:rsidRDefault="006405AC" w:rsidP="003B0F6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405AC" w:rsidRPr="00917B3D" w:rsidRDefault="006405AC" w:rsidP="003B0F6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405AC" w:rsidRPr="00917B3D" w:rsidRDefault="006405AC" w:rsidP="003B0F61">
      <w:pPr>
        <w:ind w:left="720"/>
        <w:jc w:val="both"/>
        <w:rPr>
          <w:bCs/>
          <w:sz w:val="22"/>
          <w:szCs w:val="22"/>
        </w:rPr>
      </w:pPr>
      <w:r>
        <w:rPr>
          <w:bCs/>
          <w:sz w:val="22"/>
          <w:szCs w:val="22"/>
        </w:rPr>
        <w:t>CC8</w:t>
      </w:r>
      <w:r w:rsidRPr="00917B3D">
        <w:rPr>
          <w:bCs/>
          <w:sz w:val="22"/>
          <w:szCs w:val="22"/>
        </w:rPr>
        <w:t xml:space="preserve"> (Safeguarding Amenity) </w:t>
      </w:r>
    </w:p>
    <w:p w:rsidR="006405AC" w:rsidRPr="00917B3D" w:rsidRDefault="006405AC" w:rsidP="003B0F61">
      <w:pPr>
        <w:ind w:left="720"/>
        <w:jc w:val="both"/>
        <w:rPr>
          <w:bCs/>
          <w:sz w:val="22"/>
          <w:szCs w:val="22"/>
        </w:rPr>
      </w:pPr>
      <w:r>
        <w:rPr>
          <w:bCs/>
          <w:sz w:val="22"/>
          <w:szCs w:val="22"/>
        </w:rPr>
        <w:t>H9</w:t>
      </w:r>
      <w:r w:rsidRPr="00917B3D">
        <w:rPr>
          <w:bCs/>
          <w:sz w:val="22"/>
          <w:szCs w:val="22"/>
        </w:rPr>
        <w:t xml:space="preserve"> (House Extensions and Ancillary Accommodation)</w:t>
      </w:r>
    </w:p>
    <w:p w:rsidR="006405AC" w:rsidRPr="003B0F61" w:rsidRDefault="006405AC" w:rsidP="003B0F61">
      <w:pPr>
        <w:ind w:left="720"/>
        <w:jc w:val="both"/>
        <w:rPr>
          <w:bCs/>
          <w:sz w:val="22"/>
          <w:szCs w:val="22"/>
          <w:lang w:eastAsia="en-GB"/>
        </w:rPr>
      </w:pPr>
      <w:r w:rsidRPr="003B0F61">
        <w:rPr>
          <w:bCs/>
          <w:sz w:val="22"/>
          <w:szCs w:val="22"/>
          <w:lang w:eastAsia="en-GB"/>
        </w:rPr>
        <w:t>EN12 (Biodiversity and the Green Network)</w:t>
      </w:r>
    </w:p>
    <w:p w:rsidR="006405AC" w:rsidRPr="00FA05A6" w:rsidRDefault="006405AC" w:rsidP="003B0F61">
      <w:pPr>
        <w:ind w:left="720"/>
        <w:jc w:val="both"/>
        <w:rPr>
          <w:bCs/>
          <w:sz w:val="22"/>
          <w:szCs w:val="22"/>
          <w:lang w:eastAsia="en-GB"/>
        </w:rPr>
      </w:pPr>
      <w:r w:rsidRPr="003B0F61">
        <w:rPr>
          <w:bCs/>
          <w:sz w:val="22"/>
          <w:szCs w:val="22"/>
          <w:lang w:eastAsia="en-GB"/>
        </w:rPr>
        <w:t>EN14 (Trees, Hedges and Woodlands)</w:t>
      </w:r>
    </w:p>
    <w:p w:rsidR="006405AC" w:rsidRPr="00FF3B1B" w:rsidRDefault="006405AC" w:rsidP="006405AC">
      <w:pPr>
        <w:jc w:val="both"/>
        <w:rPr>
          <w:bCs/>
          <w:sz w:val="22"/>
          <w:szCs w:val="22"/>
          <w:lang w:eastAsia="en-GB"/>
        </w:rPr>
      </w:pPr>
    </w:p>
    <w:p w:rsidR="006405AC" w:rsidRPr="003B0F61" w:rsidRDefault="006405AC" w:rsidP="003B0F61">
      <w:pPr>
        <w:ind w:left="720"/>
        <w:jc w:val="both"/>
        <w:rPr>
          <w:b/>
          <w:bCs/>
          <w:sz w:val="22"/>
          <w:szCs w:val="22"/>
          <w:u w:val="single"/>
          <w:lang w:eastAsia="en-GB"/>
        </w:rPr>
      </w:pPr>
      <w:r w:rsidRPr="003B0F61">
        <w:rPr>
          <w:b/>
          <w:bCs/>
          <w:sz w:val="22"/>
          <w:szCs w:val="22"/>
          <w:u w:val="single"/>
          <w:lang w:eastAsia="en-GB"/>
        </w:rPr>
        <w:t>SPD</w:t>
      </w:r>
    </w:p>
    <w:p w:rsidR="006405AC" w:rsidRPr="003B0F61" w:rsidRDefault="006405AC" w:rsidP="003B0F61">
      <w:pPr>
        <w:overflowPunct/>
        <w:autoSpaceDE/>
        <w:autoSpaceDN/>
        <w:adjustRightInd/>
        <w:ind w:left="720"/>
        <w:textAlignment w:val="auto"/>
        <w:rPr>
          <w:sz w:val="22"/>
          <w:szCs w:val="22"/>
        </w:rPr>
      </w:pPr>
      <w:r w:rsidRPr="003B0F61">
        <w:rPr>
          <w:sz w:val="22"/>
          <w:szCs w:val="22"/>
        </w:rPr>
        <w:t>Desi</w:t>
      </w:r>
      <w:r w:rsidR="001314B5">
        <w:rPr>
          <w:sz w:val="22"/>
          <w:szCs w:val="22"/>
        </w:rPr>
        <w:t>gn Guide to House Extensions SPD, 2021</w:t>
      </w:r>
    </w:p>
    <w:p w:rsidR="006405AC" w:rsidRPr="00FF3B1B" w:rsidRDefault="006405AC">
      <w:pPr>
        <w:jc w:val="both"/>
        <w:rPr>
          <w:b/>
          <w:bCs/>
          <w:sz w:val="22"/>
          <w:szCs w:val="22"/>
        </w:rPr>
      </w:pPr>
    </w:p>
    <w:p w:rsidR="006405AC" w:rsidRPr="00FF3B1B" w:rsidRDefault="006405AC">
      <w:pPr>
        <w:jc w:val="both"/>
        <w:rPr>
          <w:b/>
          <w:bCs/>
          <w:sz w:val="22"/>
          <w:szCs w:val="22"/>
        </w:rPr>
      </w:pPr>
      <w:r w:rsidRPr="00FF3B1B">
        <w:rPr>
          <w:b/>
          <w:bCs/>
          <w:sz w:val="22"/>
          <w:szCs w:val="22"/>
        </w:rPr>
        <w:t>6.</w:t>
      </w:r>
      <w:r w:rsidRPr="00FF3B1B">
        <w:rPr>
          <w:b/>
          <w:bCs/>
          <w:sz w:val="22"/>
          <w:szCs w:val="22"/>
        </w:rPr>
        <w:tab/>
        <w:t>APPRAISAL</w:t>
      </w:r>
    </w:p>
    <w:p w:rsidR="006405AC" w:rsidRPr="006D3285" w:rsidRDefault="006405AC" w:rsidP="003B0F61">
      <w:pPr>
        <w:ind w:left="720"/>
        <w:rPr>
          <w:b/>
          <w:bCs/>
          <w:sz w:val="22"/>
          <w:szCs w:val="22"/>
          <w:u w:val="single"/>
          <w:lang w:eastAsia="en-GB"/>
        </w:rPr>
      </w:pPr>
      <w:r w:rsidRPr="006D3285">
        <w:rPr>
          <w:b/>
          <w:bCs/>
          <w:sz w:val="22"/>
          <w:szCs w:val="22"/>
          <w:u w:val="single"/>
          <w:lang w:eastAsia="en-GB"/>
        </w:rPr>
        <w:t>Character and Appearance</w:t>
      </w:r>
    </w:p>
    <w:p w:rsidR="006405AC" w:rsidRPr="00FA05A6" w:rsidRDefault="006405AC" w:rsidP="003B0F61">
      <w:pPr>
        <w:ind w:left="720"/>
        <w:rPr>
          <w:sz w:val="22"/>
          <w:szCs w:val="22"/>
          <w:lang w:eastAsia="en-GB"/>
        </w:rPr>
      </w:pPr>
    </w:p>
    <w:p w:rsidR="006405AC" w:rsidRDefault="006405AC" w:rsidP="001314B5">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3B0F61" w:rsidRDefault="003B0F61" w:rsidP="001314B5">
      <w:pPr>
        <w:overflowPunct/>
        <w:adjustRightInd/>
        <w:ind w:left="720"/>
        <w:contextualSpacing/>
        <w:jc w:val="both"/>
        <w:textAlignment w:val="auto"/>
        <w:rPr>
          <w:sz w:val="22"/>
          <w:szCs w:val="22"/>
          <w:lang w:eastAsia="en-GB"/>
        </w:rPr>
      </w:pPr>
    </w:p>
    <w:p w:rsidR="003B0F61" w:rsidRDefault="003B0F61" w:rsidP="001314B5">
      <w:pPr>
        <w:overflowPunct/>
        <w:adjustRightInd/>
        <w:ind w:left="720"/>
        <w:contextualSpacing/>
        <w:jc w:val="both"/>
        <w:textAlignment w:val="auto"/>
        <w:rPr>
          <w:sz w:val="22"/>
          <w:szCs w:val="22"/>
          <w:lang w:eastAsia="en-GB"/>
        </w:rPr>
      </w:pPr>
      <w:r>
        <w:rPr>
          <w:sz w:val="22"/>
          <w:szCs w:val="22"/>
          <w:lang w:eastAsia="en-GB"/>
        </w:rPr>
        <w:t>All aspects of this proposal are to the rear of the property, limited to a depth of 4m and height of approximately 2.8m. Materials are to match existing and as a result of the location of the extension, no part of it would be visible from the street.</w:t>
      </w:r>
    </w:p>
    <w:p w:rsidR="003B0F61" w:rsidRDefault="003B0F61" w:rsidP="001314B5">
      <w:pPr>
        <w:overflowPunct/>
        <w:adjustRightInd/>
        <w:ind w:left="720"/>
        <w:contextualSpacing/>
        <w:jc w:val="both"/>
        <w:textAlignment w:val="auto"/>
        <w:rPr>
          <w:sz w:val="22"/>
          <w:szCs w:val="22"/>
          <w:lang w:eastAsia="en-GB"/>
        </w:rPr>
      </w:pPr>
    </w:p>
    <w:p w:rsidR="006405AC" w:rsidRPr="003B0F61" w:rsidRDefault="003B0F61" w:rsidP="001314B5">
      <w:pPr>
        <w:overflowPunct/>
        <w:adjustRightInd/>
        <w:ind w:left="720"/>
        <w:contextualSpacing/>
        <w:jc w:val="both"/>
        <w:textAlignment w:val="auto"/>
        <w:rPr>
          <w:sz w:val="22"/>
          <w:szCs w:val="22"/>
          <w:lang w:eastAsia="en-GB"/>
        </w:rPr>
      </w:pPr>
      <w:r>
        <w:rPr>
          <w:sz w:val="22"/>
          <w:szCs w:val="22"/>
          <w:lang w:eastAsia="en-GB"/>
        </w:rPr>
        <w:t>It is considered that the character of the house in terms of scale, location, materials and design is respected by the particulars of this proposal.</w:t>
      </w:r>
    </w:p>
    <w:p w:rsidR="006405AC" w:rsidRPr="00FA05A6" w:rsidRDefault="006405AC" w:rsidP="006405AC">
      <w:pPr>
        <w:overflowPunct/>
        <w:adjustRightInd/>
        <w:contextualSpacing/>
        <w:textAlignment w:val="auto"/>
        <w:rPr>
          <w:sz w:val="22"/>
          <w:szCs w:val="22"/>
          <w:u w:val="single"/>
          <w:lang w:eastAsia="en-GB"/>
        </w:rPr>
      </w:pPr>
    </w:p>
    <w:p w:rsidR="006405AC" w:rsidRPr="00FA05A6" w:rsidRDefault="006405AC" w:rsidP="003B0F61">
      <w:pPr>
        <w:ind w:left="720"/>
        <w:rPr>
          <w:b/>
          <w:bCs/>
          <w:sz w:val="22"/>
          <w:szCs w:val="22"/>
          <w:u w:val="single"/>
          <w:lang w:eastAsia="en-GB"/>
        </w:rPr>
      </w:pPr>
      <w:r w:rsidRPr="006D3285">
        <w:rPr>
          <w:b/>
          <w:bCs/>
          <w:sz w:val="22"/>
          <w:szCs w:val="22"/>
          <w:u w:val="single"/>
          <w:lang w:eastAsia="en-GB"/>
        </w:rPr>
        <w:t>Residential Amenity</w:t>
      </w:r>
    </w:p>
    <w:p w:rsidR="006405AC" w:rsidRPr="00FA05A6" w:rsidRDefault="006405AC" w:rsidP="003B0F61">
      <w:pPr>
        <w:ind w:left="720"/>
        <w:rPr>
          <w:b/>
          <w:bCs/>
          <w:sz w:val="22"/>
          <w:szCs w:val="22"/>
          <w:u w:val="single"/>
          <w:lang w:eastAsia="en-GB"/>
        </w:rPr>
      </w:pPr>
    </w:p>
    <w:p w:rsidR="006405AC" w:rsidRDefault="006405AC" w:rsidP="003B0F61">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 xml:space="preserve">olicy CC8 states an extension to </w:t>
      </w:r>
      <w:r w:rsidRPr="006D3285">
        <w:rPr>
          <w:color w:val="000000"/>
          <w:sz w:val="22"/>
          <w:szCs w:val="22"/>
          <w:lang w:eastAsia="en-GB"/>
        </w:rPr>
        <w:lastRenderedPageBreak/>
        <w:t>a house will be acceptable where it will not cause a significant detrimental impact to the living environment of existing or new residential properties.</w:t>
      </w:r>
    </w:p>
    <w:p w:rsidR="003B0F61" w:rsidRDefault="003B0F61" w:rsidP="003B0F61">
      <w:pPr>
        <w:overflowPunct/>
        <w:adjustRightInd/>
        <w:ind w:left="720"/>
        <w:jc w:val="both"/>
        <w:textAlignment w:val="auto"/>
        <w:rPr>
          <w:color w:val="000000"/>
          <w:sz w:val="22"/>
          <w:szCs w:val="22"/>
          <w:lang w:eastAsia="en-GB"/>
        </w:rPr>
      </w:pPr>
    </w:p>
    <w:p w:rsidR="00C16C7A" w:rsidRDefault="003B0F61" w:rsidP="003B0F61">
      <w:pPr>
        <w:overflowPunct/>
        <w:adjustRightInd/>
        <w:ind w:left="720"/>
        <w:jc w:val="both"/>
        <w:textAlignment w:val="auto"/>
        <w:rPr>
          <w:color w:val="000000"/>
          <w:sz w:val="22"/>
          <w:szCs w:val="22"/>
          <w:lang w:eastAsia="en-GB"/>
        </w:rPr>
      </w:pPr>
      <w:r>
        <w:rPr>
          <w:color w:val="000000"/>
          <w:sz w:val="22"/>
          <w:szCs w:val="22"/>
          <w:lang w:eastAsia="en-GB"/>
        </w:rPr>
        <w:t xml:space="preserve">The rear extension only extends to the line of the existing extension on the neighbouring property at No 15. There is an existing </w:t>
      </w:r>
      <w:r w:rsidR="00C16C7A">
        <w:rPr>
          <w:color w:val="000000"/>
          <w:sz w:val="22"/>
          <w:szCs w:val="22"/>
          <w:lang w:eastAsia="en-GB"/>
        </w:rPr>
        <w:t>outbuilding to the boundary with No19 which is to be removed to make way for the proposed extension.</w:t>
      </w:r>
    </w:p>
    <w:p w:rsidR="00C16C7A" w:rsidRDefault="00C16C7A" w:rsidP="003B0F61">
      <w:pPr>
        <w:overflowPunct/>
        <w:adjustRightInd/>
        <w:ind w:left="720"/>
        <w:jc w:val="both"/>
        <w:textAlignment w:val="auto"/>
        <w:rPr>
          <w:color w:val="000000"/>
          <w:sz w:val="22"/>
          <w:szCs w:val="22"/>
          <w:lang w:eastAsia="en-GB"/>
        </w:rPr>
      </w:pPr>
    </w:p>
    <w:p w:rsidR="003B0F61" w:rsidRDefault="00C16C7A" w:rsidP="003B0F61">
      <w:pPr>
        <w:overflowPunct/>
        <w:adjustRightInd/>
        <w:ind w:left="720"/>
        <w:jc w:val="both"/>
        <w:textAlignment w:val="auto"/>
        <w:rPr>
          <w:color w:val="000000"/>
          <w:sz w:val="22"/>
          <w:szCs w:val="22"/>
          <w:lang w:eastAsia="en-GB"/>
        </w:rPr>
      </w:pPr>
      <w:r>
        <w:rPr>
          <w:color w:val="000000"/>
          <w:sz w:val="22"/>
          <w:szCs w:val="22"/>
          <w:lang w:eastAsia="en-GB"/>
        </w:rPr>
        <w:t>Therefore, there would not be any significant additional impact brought on by this proposal to the neighbouring properties in terms of privacy, overlooking, overbearing effects or their access to sunlight and daylight.</w:t>
      </w:r>
      <w:r w:rsidR="003B0F61">
        <w:rPr>
          <w:color w:val="000000"/>
          <w:sz w:val="22"/>
          <w:szCs w:val="22"/>
          <w:lang w:eastAsia="en-GB"/>
        </w:rPr>
        <w:t xml:space="preserve"> </w:t>
      </w:r>
    </w:p>
    <w:p w:rsidR="00C16C7A" w:rsidRDefault="00C16C7A" w:rsidP="003B0F61">
      <w:pPr>
        <w:overflowPunct/>
        <w:adjustRightInd/>
        <w:ind w:left="720"/>
        <w:jc w:val="both"/>
        <w:textAlignment w:val="auto"/>
        <w:rPr>
          <w:color w:val="000000"/>
          <w:sz w:val="22"/>
          <w:szCs w:val="22"/>
          <w:lang w:eastAsia="en-GB"/>
        </w:rPr>
      </w:pPr>
    </w:p>
    <w:p w:rsidR="00C16C7A" w:rsidRPr="006D3285" w:rsidRDefault="00C16C7A" w:rsidP="003B0F61">
      <w:pPr>
        <w:overflowPunct/>
        <w:adjustRightInd/>
        <w:ind w:left="720"/>
        <w:jc w:val="both"/>
        <w:textAlignment w:val="auto"/>
        <w:rPr>
          <w:color w:val="000000"/>
          <w:sz w:val="22"/>
          <w:szCs w:val="22"/>
          <w:lang w:eastAsia="en-GB"/>
        </w:rPr>
      </w:pPr>
      <w:r>
        <w:rPr>
          <w:color w:val="000000"/>
          <w:sz w:val="22"/>
          <w:szCs w:val="22"/>
          <w:lang w:eastAsia="en-GB"/>
        </w:rPr>
        <w:t>The roof lights proposed are not positioned in any way that would give rise to overlooking from the properties on both sides.</w:t>
      </w:r>
    </w:p>
    <w:p w:rsidR="006405AC" w:rsidRPr="00356D64" w:rsidRDefault="006405AC" w:rsidP="006405AC">
      <w:pPr>
        <w:jc w:val="both"/>
        <w:rPr>
          <w:color w:val="000000"/>
          <w:sz w:val="22"/>
          <w:szCs w:val="22"/>
          <w:lang w:eastAsia="en-GB"/>
        </w:rPr>
      </w:pPr>
    </w:p>
    <w:p w:rsidR="006405AC" w:rsidRDefault="006405AC" w:rsidP="006405AC">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405AC" w:rsidRPr="00FA05A6" w:rsidRDefault="006405AC" w:rsidP="0037451F">
      <w:pPr>
        <w:ind w:left="720"/>
        <w:jc w:val="both"/>
        <w:rPr>
          <w:bCs/>
          <w:sz w:val="22"/>
          <w:szCs w:val="22"/>
          <w:lang w:eastAsia="en-GB"/>
        </w:rPr>
      </w:pPr>
      <w:r w:rsidRPr="0037451F">
        <w:rPr>
          <w:bCs/>
          <w:sz w:val="22"/>
          <w:szCs w:val="22"/>
          <w:lang w:eastAsia="en-GB"/>
        </w:rPr>
        <w:t>The proposed development has been assessed as set out above and is considered to be acceptable on that basis, subject to the following conditions.</w:t>
      </w:r>
    </w:p>
    <w:p w:rsidR="006405AC" w:rsidRPr="00356D64" w:rsidRDefault="006405AC" w:rsidP="0037451F">
      <w:pPr>
        <w:jc w:val="both"/>
        <w:rPr>
          <w:rFonts w:cs="Trebuchet MS"/>
          <w:sz w:val="22"/>
          <w:szCs w:val="22"/>
          <w:u w:val="single"/>
          <w:lang w:eastAsia="en-GB"/>
        </w:rPr>
      </w:pPr>
    </w:p>
    <w:p w:rsidR="006405AC" w:rsidRPr="00546BC8" w:rsidRDefault="006405AC" w:rsidP="00546BC8">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sidR="001314B5">
        <w:rPr>
          <w:rFonts w:ascii="Trebuchet MS" w:hAnsi="Trebuchet MS"/>
          <w:b/>
          <w:bCs/>
          <w:sz w:val="22"/>
          <w:szCs w:val="22"/>
        </w:rPr>
        <w:t>ECOMMENDATION</w:t>
      </w:r>
      <w:r w:rsidR="00546BC8">
        <w:rPr>
          <w:rFonts w:ascii="Trebuchet MS" w:hAnsi="Trebuchet MS"/>
          <w:b/>
          <w:bCs/>
          <w:sz w:val="22"/>
          <w:szCs w:val="22"/>
        </w:rPr>
        <w:t xml:space="preserve">: </w:t>
      </w:r>
      <w:r w:rsidR="00546BC8" w:rsidRPr="00546BC8">
        <w:rPr>
          <w:rFonts w:ascii="Trebuchet MS" w:hAnsi="Trebuchet MS"/>
          <w:bCs/>
          <w:sz w:val="22"/>
          <w:szCs w:val="22"/>
        </w:rPr>
        <w:t>Grant</w:t>
      </w:r>
    </w:p>
    <w:p w:rsidR="006405AC" w:rsidRDefault="006405AC" w:rsidP="0037451F">
      <w:pPr>
        <w:ind w:left="731" w:hanging="11"/>
        <w:jc w:val="both"/>
        <w:rPr>
          <w:rFonts w:cs="Trebuchet MS"/>
          <w:sz w:val="22"/>
          <w:szCs w:val="22"/>
          <w:lang w:eastAsia="en-GB"/>
        </w:rPr>
      </w:pPr>
      <w:r w:rsidRPr="006511AF">
        <w:rPr>
          <w:rFonts w:cs="Trebuchet MS"/>
          <w:sz w:val="22"/>
          <w:szCs w:val="22"/>
          <w:lang w:eastAsia="en-GB"/>
        </w:rPr>
        <w:t>Recommended Conditions:</w:t>
      </w:r>
    </w:p>
    <w:p w:rsidR="00D80E4B" w:rsidRDefault="00D80E4B" w:rsidP="0037451F">
      <w:pPr>
        <w:ind w:left="731" w:hanging="11"/>
        <w:jc w:val="both"/>
        <w:rPr>
          <w:rFonts w:cs="Trebuchet MS"/>
          <w:sz w:val="22"/>
          <w:szCs w:val="22"/>
          <w:lang w:eastAsia="en-GB"/>
        </w:rPr>
      </w:pPr>
      <w:r>
        <w:rPr>
          <w:rFonts w:cs="Trebuchet MS"/>
          <w:sz w:val="22"/>
          <w:szCs w:val="22"/>
          <w:lang w:eastAsia="en-GB"/>
        </w:rPr>
        <w:t>AP1: Approved Plans</w:t>
      </w:r>
    </w:p>
    <w:p w:rsidR="00D80E4B" w:rsidRDefault="00D80E4B" w:rsidP="0037451F">
      <w:pPr>
        <w:ind w:left="731" w:hanging="11"/>
        <w:jc w:val="both"/>
        <w:rPr>
          <w:rFonts w:cs="Trebuchet MS"/>
          <w:sz w:val="22"/>
          <w:szCs w:val="22"/>
          <w:lang w:eastAsia="en-GB"/>
        </w:rPr>
      </w:pPr>
      <w:r>
        <w:rPr>
          <w:rFonts w:cs="Trebuchet MS"/>
          <w:sz w:val="22"/>
          <w:szCs w:val="22"/>
          <w:lang w:eastAsia="en-GB"/>
        </w:rPr>
        <w:t>TL1: Time Limit Standards</w:t>
      </w:r>
    </w:p>
    <w:p w:rsidR="00D80E4B" w:rsidRDefault="00D80E4B" w:rsidP="0037451F">
      <w:pPr>
        <w:ind w:left="731" w:hanging="11"/>
        <w:jc w:val="both"/>
        <w:rPr>
          <w:rFonts w:cs="Trebuchet MS"/>
          <w:sz w:val="22"/>
          <w:szCs w:val="22"/>
          <w:lang w:eastAsia="en-GB"/>
        </w:rPr>
      </w:pPr>
      <w:r>
        <w:rPr>
          <w:rFonts w:cs="Trebuchet MS"/>
          <w:sz w:val="22"/>
          <w:szCs w:val="22"/>
          <w:lang w:eastAsia="en-GB"/>
        </w:rPr>
        <w:t>M1: Materials to Match Existing</w:t>
      </w:r>
    </w:p>
    <w:p w:rsidR="00D80E4B" w:rsidRPr="00D80E4B" w:rsidRDefault="00D80E4B" w:rsidP="00D80E4B">
      <w:pPr>
        <w:overflowPunct/>
        <w:adjustRightInd/>
        <w:ind w:left="720"/>
        <w:jc w:val="both"/>
        <w:textAlignment w:val="auto"/>
        <w:rPr>
          <w:rFonts w:cs="Calibri"/>
          <w:bCs/>
          <w:sz w:val="22"/>
          <w:szCs w:val="22"/>
        </w:rPr>
      </w:pPr>
      <w:r>
        <w:rPr>
          <w:rFonts w:cs="Calibri"/>
          <w:bCs/>
          <w:sz w:val="22"/>
          <w:szCs w:val="22"/>
        </w:rPr>
        <w:t xml:space="preserve">I15: </w:t>
      </w:r>
      <w:r w:rsidRPr="00D80E4B">
        <w:rPr>
          <w:rFonts w:cs="Calibri"/>
          <w:bCs/>
          <w:sz w:val="22"/>
          <w:szCs w:val="22"/>
        </w:rPr>
        <w:t>Advice about TPO.d trees and trees in Conservation Areas</w:t>
      </w:r>
    </w:p>
    <w:p w:rsidR="00D80E4B" w:rsidRPr="00D80E4B" w:rsidRDefault="00D80E4B" w:rsidP="00D80E4B">
      <w:pPr>
        <w:overflowPunct/>
        <w:adjustRightInd/>
        <w:ind w:left="720"/>
        <w:jc w:val="both"/>
        <w:textAlignment w:val="auto"/>
        <w:rPr>
          <w:rFonts w:cs="Calibri"/>
          <w:bCs/>
          <w:sz w:val="22"/>
          <w:szCs w:val="22"/>
        </w:rPr>
      </w:pPr>
      <w:r>
        <w:rPr>
          <w:rFonts w:cs="Calibri"/>
          <w:bCs/>
          <w:sz w:val="22"/>
          <w:szCs w:val="22"/>
        </w:rPr>
        <w:t xml:space="preserve">I24/17: </w:t>
      </w:r>
      <w:r w:rsidRPr="00D80E4B">
        <w:rPr>
          <w:rFonts w:cs="Calibri"/>
          <w:bCs/>
          <w:sz w:val="22"/>
          <w:szCs w:val="22"/>
        </w:rPr>
        <w:t xml:space="preserve">Do not damage the verge </w:t>
      </w:r>
    </w:p>
    <w:p w:rsidR="00D80E4B" w:rsidRPr="00D80E4B" w:rsidRDefault="00D80E4B" w:rsidP="00D80E4B">
      <w:pPr>
        <w:overflowPunct/>
        <w:autoSpaceDE/>
        <w:autoSpaceDN/>
        <w:adjustRightInd/>
        <w:textAlignment w:val="auto"/>
        <w:rPr>
          <w:rFonts w:ascii="Calibri" w:hAnsi="Calibri" w:cs="Calibri"/>
          <w:sz w:val="22"/>
          <w:szCs w:val="22"/>
        </w:rPr>
      </w:pPr>
    </w:p>
    <w:p w:rsidR="00D80E4B" w:rsidRPr="006511AF" w:rsidRDefault="00D80E4B" w:rsidP="0037451F">
      <w:pPr>
        <w:ind w:left="731" w:hanging="11"/>
        <w:jc w:val="both"/>
        <w:rPr>
          <w:rFonts w:cs="Trebuchet MS"/>
          <w:sz w:val="22"/>
          <w:szCs w:val="22"/>
          <w:lang w:eastAsia="en-GB"/>
        </w:rPr>
      </w:pPr>
    </w:p>
    <w:sectPr w:rsidR="00D80E4B" w:rsidRPr="006511AF" w:rsidSect="006405AC">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752" w:rsidRDefault="00D37752">
      <w:r>
        <w:separator/>
      </w:r>
    </w:p>
  </w:endnote>
  <w:endnote w:type="continuationSeparator" w:id="0">
    <w:p w:rsidR="00D37752" w:rsidRDefault="00D37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F61" w:rsidRDefault="003B0F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752" w:rsidRDefault="00D37752">
      <w:r>
        <w:separator/>
      </w:r>
    </w:p>
  </w:footnote>
  <w:footnote w:type="continuationSeparator" w:id="0">
    <w:p w:rsidR="00D37752" w:rsidRDefault="00D37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7B55"/>
    <w:rsid w:val="001314B5"/>
    <w:rsid w:val="00150C96"/>
    <w:rsid w:val="0034797F"/>
    <w:rsid w:val="0037451F"/>
    <w:rsid w:val="003B0F61"/>
    <w:rsid w:val="00546BC8"/>
    <w:rsid w:val="00564EEA"/>
    <w:rsid w:val="006021D8"/>
    <w:rsid w:val="006026EA"/>
    <w:rsid w:val="00620E7C"/>
    <w:rsid w:val="006405AC"/>
    <w:rsid w:val="00890FA6"/>
    <w:rsid w:val="00AA01B4"/>
    <w:rsid w:val="00AA1DEA"/>
    <w:rsid w:val="00C16C7A"/>
    <w:rsid w:val="00D37752"/>
    <w:rsid w:val="00D80E4B"/>
    <w:rsid w:val="00E35A86"/>
    <w:rsid w:val="00E360AA"/>
    <w:rsid w:val="00F45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4F5B2422-C454-4D7A-AF08-43394388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2023-09-08T12:59:00Z</dcterms:created>
  <dcterms:modified xsi:type="dcterms:W3CDTF">2023-09-08T12:59:00Z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