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704" w:rsidRDefault="009526D1" w:rsidP="00D31704">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D31704" w:rsidRDefault="00D31704" w:rsidP="00D31704">
      <w:pPr>
        <w:pStyle w:val="BodyText"/>
        <w:tabs>
          <w:tab w:val="left" w:pos="2552"/>
        </w:tabs>
        <w:ind w:left="3272" w:hanging="2552"/>
        <w:jc w:val="both"/>
        <w:rPr>
          <w:rFonts w:ascii="Trebuchet MS" w:hAnsi="Trebuchet MS"/>
          <w:sz w:val="22"/>
          <w:szCs w:val="22"/>
        </w:rPr>
      </w:pPr>
    </w:p>
    <w:p w:rsidR="00D31704" w:rsidRPr="00FF3B1B" w:rsidRDefault="00D31704" w:rsidP="00D3170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31704" w:rsidRPr="00FF3B1B" w:rsidRDefault="00D31704" w:rsidP="00D31704">
      <w:pPr>
        <w:pStyle w:val="BodyText"/>
        <w:tabs>
          <w:tab w:val="left" w:pos="2552"/>
        </w:tabs>
        <w:ind w:left="3272" w:hanging="2552"/>
        <w:jc w:val="both"/>
        <w:rPr>
          <w:rFonts w:ascii="Trebuchet MS" w:hAnsi="Trebuchet MS"/>
          <w:sz w:val="22"/>
          <w:szCs w:val="22"/>
        </w:rPr>
      </w:pPr>
    </w:p>
    <w:p w:rsidR="00D31704" w:rsidRPr="00FF3B1B" w:rsidRDefault="00D31704" w:rsidP="00D3170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D31704" w:rsidRPr="00FF3B1B" w:rsidRDefault="00D31704" w:rsidP="00D3170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221935</w:t>
      </w:r>
      <w:r w:rsidRPr="00FF3B1B">
        <w:rPr>
          <w:rFonts w:ascii="Trebuchet MS" w:hAnsi="Trebuchet MS"/>
          <w:b w:val="0"/>
          <w:sz w:val="22"/>
          <w:szCs w:val="22"/>
        </w:rPr>
        <w:t>/</w:t>
      </w:r>
      <w:r w:rsidRPr="00FF3B1B">
        <w:rPr>
          <w:rFonts w:ascii="Trebuchet MS" w:hAnsi="Trebuchet MS"/>
          <w:sz w:val="22"/>
          <w:szCs w:val="22"/>
        </w:rPr>
        <w:t>HOU</w:t>
      </w:r>
    </w:p>
    <w:p w:rsidR="00D31704" w:rsidRPr="00FF3B1B" w:rsidRDefault="00D31704" w:rsidP="00D3170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10 Windermere Road, Reading, RG2 7HP</w:t>
      </w:r>
    </w:p>
    <w:p w:rsidR="00D31704" w:rsidRPr="00FF3B1B" w:rsidRDefault="00D31704" w:rsidP="00D3170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Demolition of existing outbuilding/storage to the rear of the property and proposed erection of a single storey side and rear extension. </w:t>
      </w:r>
    </w:p>
    <w:p w:rsidR="00D31704" w:rsidRPr="00FF3B1B" w:rsidRDefault="00D31704" w:rsidP="00D3170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31704" w:rsidRPr="00FF3B1B" w:rsidRDefault="00D31704" w:rsidP="00D3170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Wei</w:t>
      </w:r>
    </w:p>
    <w:p w:rsidR="00D31704" w:rsidRDefault="00D31704" w:rsidP="00D31704">
      <w:pPr>
        <w:pStyle w:val="BodyText"/>
        <w:ind w:left="720"/>
        <w:jc w:val="both"/>
        <w:rPr>
          <w:rFonts w:ascii="Trebuchet MS" w:hAnsi="Trebuchet MS"/>
          <w:sz w:val="22"/>
          <w:szCs w:val="22"/>
        </w:rPr>
      </w:pPr>
      <w:r w:rsidRPr="00FF3B1B">
        <w:rPr>
          <w:rFonts w:ascii="Trebuchet MS" w:hAnsi="Trebuchet MS"/>
          <w:sz w:val="22"/>
          <w:szCs w:val="22"/>
        </w:rPr>
        <w:t>Date received (valid from): 28 December 2022</w:t>
      </w:r>
      <w:r>
        <w:rPr>
          <w:rFonts w:ascii="Trebuchet MS" w:hAnsi="Trebuchet MS"/>
          <w:sz w:val="22"/>
          <w:szCs w:val="22"/>
        </w:rPr>
        <w:t xml:space="preserve">      </w:t>
      </w:r>
    </w:p>
    <w:p w:rsidR="00D31704" w:rsidRPr="00FF3B1B" w:rsidRDefault="00D31704" w:rsidP="00D3170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22 February</w:t>
      </w:r>
      <w:r w:rsidRPr="00FF3B1B">
        <w:rPr>
          <w:rFonts w:ascii="Trebuchet MS" w:hAnsi="Trebuchet MS" w:cs="Trebuchet MS"/>
          <w:sz w:val="22"/>
          <w:szCs w:val="22"/>
        </w:rPr>
        <w:t xml:space="preserve"> 2023</w:t>
      </w:r>
      <w:r w:rsidRPr="00FF3B1B">
        <w:rPr>
          <w:rFonts w:ascii="Trebuchet MS" w:hAnsi="Trebuchet MS"/>
          <w:sz w:val="22"/>
          <w:szCs w:val="22"/>
        </w:rPr>
        <w:tab/>
      </w:r>
    </w:p>
    <w:p w:rsidR="00D31704" w:rsidRPr="00FF3B1B" w:rsidRDefault="00D31704" w:rsidP="00D31704">
      <w:pPr>
        <w:pStyle w:val="BodyText"/>
        <w:tabs>
          <w:tab w:val="left" w:pos="2552"/>
        </w:tabs>
        <w:ind w:left="2552" w:hanging="2552"/>
        <w:jc w:val="both"/>
        <w:rPr>
          <w:rFonts w:ascii="Trebuchet MS" w:hAnsi="Trebuchet MS"/>
          <w:b w:val="0"/>
          <w:sz w:val="22"/>
          <w:szCs w:val="22"/>
        </w:rPr>
      </w:pPr>
    </w:p>
    <w:p w:rsidR="00D31704" w:rsidRPr="00FF3B1B" w:rsidRDefault="00D31704" w:rsidP="00D31704">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D31704" w:rsidRDefault="003468C6" w:rsidP="00D31704">
      <w:pPr>
        <w:ind w:left="720"/>
        <w:jc w:val="both"/>
        <w:rPr>
          <w:sz w:val="22"/>
          <w:szCs w:val="22"/>
        </w:rPr>
      </w:pPr>
      <w:r>
        <w:rPr>
          <w:sz w:val="22"/>
          <w:szCs w:val="22"/>
        </w:rPr>
        <w:t>The proposal site is a semi-det</w:t>
      </w:r>
      <w:r w:rsidR="00D31704">
        <w:rPr>
          <w:sz w:val="22"/>
          <w:szCs w:val="22"/>
        </w:rPr>
        <w:t>ached two storey dwelling on the western side of Windermere Road, in a purely residential area, among dwellings of similar styles and patterns. The dwelling has existing extensions to the rear and an outbuilding to the rear. Buildings on the street scene are characterised by side attached garages and a mixture of bricks and rendering to the external walls.</w:t>
      </w:r>
    </w:p>
    <w:p w:rsidR="00D31704" w:rsidRDefault="00D31704" w:rsidP="00D31704">
      <w:pPr>
        <w:ind w:left="720"/>
        <w:jc w:val="both"/>
        <w:rPr>
          <w:sz w:val="22"/>
          <w:szCs w:val="22"/>
        </w:rPr>
      </w:pPr>
    </w:p>
    <w:p w:rsidR="00D31704" w:rsidRPr="00FF3B1B" w:rsidRDefault="009526D1" w:rsidP="00D31704">
      <w:pPr>
        <w:ind w:left="720"/>
        <w:jc w:val="both"/>
        <w:rPr>
          <w:sz w:val="22"/>
          <w:szCs w:val="22"/>
        </w:rPr>
      </w:pPr>
      <w:r w:rsidRPr="00301102">
        <w:rPr>
          <w:noProof/>
          <w:lang w:eastAsia="en-GB"/>
        </w:rPr>
        <w:drawing>
          <wp:inline distT="0" distB="0" distL="0" distR="0">
            <wp:extent cx="5607050" cy="3873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7050" cy="3873500"/>
                    </a:xfrm>
                    <a:prstGeom prst="rect">
                      <a:avLst/>
                    </a:prstGeom>
                    <a:noFill/>
                    <a:ln>
                      <a:noFill/>
                    </a:ln>
                  </pic:spPr>
                </pic:pic>
              </a:graphicData>
            </a:graphic>
          </wp:inline>
        </w:drawing>
      </w:r>
    </w:p>
    <w:p w:rsidR="00D31704" w:rsidRDefault="00D31704" w:rsidP="00D31704">
      <w:pPr>
        <w:pStyle w:val="BodyText"/>
        <w:tabs>
          <w:tab w:val="left" w:pos="2552"/>
        </w:tabs>
        <w:ind w:left="2552" w:hanging="2552"/>
        <w:jc w:val="both"/>
        <w:rPr>
          <w:rFonts w:ascii="Trebuchet MS" w:hAnsi="Trebuchet MS"/>
          <w:b w:val="0"/>
          <w:sz w:val="22"/>
          <w:szCs w:val="22"/>
        </w:rPr>
      </w:pPr>
    </w:p>
    <w:p w:rsidR="00D31704" w:rsidRPr="00FF3B1B" w:rsidRDefault="00D31704" w:rsidP="00D31704">
      <w:pPr>
        <w:ind w:firstLine="720"/>
        <w:rPr>
          <w:sz w:val="22"/>
          <w:szCs w:val="22"/>
        </w:rPr>
      </w:pPr>
    </w:p>
    <w:p w:rsidR="00D31704" w:rsidRPr="00FF3B1B" w:rsidRDefault="00D31704" w:rsidP="00D31704">
      <w:pPr>
        <w:jc w:val="both"/>
        <w:rPr>
          <w:b/>
          <w:bCs/>
          <w:sz w:val="22"/>
          <w:szCs w:val="22"/>
        </w:rPr>
      </w:pPr>
    </w:p>
    <w:p w:rsidR="00D31704" w:rsidRPr="00FF3B1B" w:rsidRDefault="00D31704" w:rsidP="00D31704">
      <w:pPr>
        <w:jc w:val="both"/>
        <w:rPr>
          <w:b/>
          <w:bCs/>
          <w:sz w:val="22"/>
          <w:szCs w:val="22"/>
        </w:rPr>
      </w:pPr>
      <w:r w:rsidRPr="00FF3B1B">
        <w:rPr>
          <w:b/>
          <w:bCs/>
          <w:sz w:val="22"/>
          <w:szCs w:val="22"/>
        </w:rPr>
        <w:t>2.</w:t>
      </w:r>
      <w:r w:rsidRPr="00FF3B1B">
        <w:rPr>
          <w:b/>
          <w:bCs/>
          <w:sz w:val="22"/>
          <w:szCs w:val="22"/>
        </w:rPr>
        <w:tab/>
        <w:t>PROPOSAL AND SUPPORTING INFORMATION</w:t>
      </w:r>
    </w:p>
    <w:p w:rsidR="00D31704" w:rsidRDefault="00D31704" w:rsidP="00D31704">
      <w:pPr>
        <w:ind w:left="720"/>
        <w:rPr>
          <w:sz w:val="22"/>
          <w:szCs w:val="22"/>
        </w:rPr>
      </w:pPr>
      <w:r>
        <w:rPr>
          <w:sz w:val="22"/>
          <w:szCs w:val="22"/>
        </w:rPr>
        <w:t>The application proposes demolition of existing outbuilding/storage to the rear of the property and erection of a single storey side and rear extension, mostly using the footprints of the existing side extension and outbuilding to the rear. The height of the side and rear extension is approximately 1.8m.</w:t>
      </w:r>
    </w:p>
    <w:p w:rsidR="00D31704" w:rsidRPr="00FF3B1B" w:rsidRDefault="00D31704" w:rsidP="00D31704">
      <w:pPr>
        <w:rPr>
          <w:sz w:val="22"/>
          <w:szCs w:val="22"/>
        </w:rPr>
      </w:pPr>
    </w:p>
    <w:p w:rsidR="00D31704" w:rsidRPr="00FF3B1B" w:rsidRDefault="00D31704" w:rsidP="00D31704">
      <w:pPr>
        <w:pStyle w:val="BodyText"/>
        <w:ind w:left="720" w:hanging="720"/>
        <w:jc w:val="both"/>
        <w:rPr>
          <w:rFonts w:ascii="Trebuchet MS" w:hAnsi="Trebuchet MS"/>
          <w:b w:val="0"/>
          <w:sz w:val="22"/>
          <w:szCs w:val="22"/>
        </w:rPr>
      </w:pPr>
    </w:p>
    <w:p w:rsidR="00D31704" w:rsidRDefault="00D31704" w:rsidP="00D3170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dated 28/12/2022 received 12/05/2023</w:t>
      </w:r>
    </w:p>
    <w:p w:rsidR="00D31704" w:rsidRDefault="00D31704" w:rsidP="00D31704">
      <w:pPr>
        <w:pStyle w:val="BodyText"/>
        <w:ind w:left="1440" w:hanging="720"/>
        <w:jc w:val="both"/>
        <w:rPr>
          <w:rFonts w:ascii="Trebuchet MS" w:hAnsi="Trebuchet MS"/>
          <w:b w:val="0"/>
          <w:bCs/>
          <w:sz w:val="22"/>
          <w:szCs w:val="22"/>
        </w:rPr>
      </w:pPr>
      <w:r>
        <w:rPr>
          <w:rFonts w:ascii="Trebuchet MS" w:hAnsi="Trebuchet MS"/>
          <w:b w:val="0"/>
          <w:bCs/>
          <w:sz w:val="22"/>
          <w:szCs w:val="22"/>
        </w:rPr>
        <w:t>Drawing No PL200 Rev D: Existing and Proposed Front &amp; Rear Elevations</w:t>
      </w:r>
    </w:p>
    <w:p w:rsidR="00D31704" w:rsidRPr="00FF3B1B" w:rsidRDefault="00D31704" w:rsidP="00D31704">
      <w:pPr>
        <w:pStyle w:val="BodyText"/>
        <w:ind w:left="1440" w:hanging="720"/>
        <w:jc w:val="both"/>
        <w:rPr>
          <w:rFonts w:ascii="Trebuchet MS" w:hAnsi="Trebuchet MS"/>
          <w:b w:val="0"/>
          <w:sz w:val="22"/>
          <w:szCs w:val="22"/>
        </w:rPr>
      </w:pPr>
      <w:r>
        <w:rPr>
          <w:rFonts w:ascii="Trebuchet MS" w:hAnsi="Trebuchet MS"/>
          <w:b w:val="0"/>
          <w:bCs/>
          <w:sz w:val="22"/>
          <w:szCs w:val="22"/>
        </w:rPr>
        <w:lastRenderedPageBreak/>
        <w:t>Drawing No PL201 Rev D: Existing and Proposed Left &amp; Right Elevations</w:t>
      </w:r>
    </w:p>
    <w:p w:rsidR="00D31704" w:rsidRDefault="00D31704" w:rsidP="00D31704">
      <w:pPr>
        <w:pStyle w:val="BodyText"/>
        <w:ind w:left="1440" w:hanging="720"/>
        <w:jc w:val="both"/>
        <w:rPr>
          <w:rFonts w:ascii="Trebuchet MS" w:hAnsi="Trebuchet MS"/>
          <w:b w:val="0"/>
          <w:bCs/>
          <w:sz w:val="22"/>
          <w:szCs w:val="22"/>
        </w:rPr>
      </w:pPr>
      <w:r>
        <w:rPr>
          <w:rFonts w:ascii="Trebuchet MS" w:hAnsi="Trebuchet MS"/>
          <w:b w:val="0"/>
          <w:bCs/>
          <w:sz w:val="22"/>
          <w:szCs w:val="22"/>
        </w:rPr>
        <w:t>Drawing No PL100 Rev C: Existing and Proposed Floor Plans</w:t>
      </w:r>
    </w:p>
    <w:p w:rsidR="00D31704" w:rsidRDefault="00D31704" w:rsidP="00D31704">
      <w:pPr>
        <w:pStyle w:val="BodyText"/>
        <w:ind w:left="1440" w:hanging="720"/>
        <w:jc w:val="both"/>
        <w:rPr>
          <w:rFonts w:ascii="Trebuchet MS" w:hAnsi="Trebuchet MS"/>
          <w:b w:val="0"/>
          <w:bCs/>
          <w:sz w:val="22"/>
          <w:szCs w:val="22"/>
        </w:rPr>
      </w:pPr>
      <w:r>
        <w:rPr>
          <w:rFonts w:ascii="Trebuchet MS" w:hAnsi="Trebuchet MS"/>
          <w:b w:val="0"/>
          <w:bCs/>
          <w:sz w:val="22"/>
          <w:szCs w:val="22"/>
        </w:rPr>
        <w:t>Drawing No PL002 Rev C: Location Plan</w:t>
      </w:r>
    </w:p>
    <w:p w:rsidR="00D31704" w:rsidRDefault="00D31704" w:rsidP="00D31704">
      <w:pPr>
        <w:pStyle w:val="BodyText"/>
        <w:ind w:left="1440" w:hanging="720"/>
        <w:jc w:val="both"/>
        <w:rPr>
          <w:rFonts w:ascii="Trebuchet MS" w:hAnsi="Trebuchet MS"/>
          <w:b w:val="0"/>
          <w:bCs/>
          <w:sz w:val="22"/>
          <w:szCs w:val="22"/>
        </w:rPr>
      </w:pPr>
    </w:p>
    <w:p w:rsidR="00D31704" w:rsidRPr="00FF3B1B" w:rsidRDefault="009526D1" w:rsidP="00D31704">
      <w:pPr>
        <w:pStyle w:val="BodyText"/>
        <w:ind w:left="2160" w:hanging="720"/>
        <w:jc w:val="both"/>
        <w:rPr>
          <w:rFonts w:ascii="Trebuchet MS" w:hAnsi="Trebuchet MS"/>
          <w:b w:val="0"/>
          <w:sz w:val="22"/>
          <w:szCs w:val="22"/>
        </w:rPr>
      </w:pPr>
      <w:r w:rsidRPr="00533627">
        <w:rPr>
          <w:noProof/>
          <w:lang w:eastAsia="en-GB"/>
        </w:rPr>
        <w:drawing>
          <wp:inline distT="0" distB="0" distL="0" distR="0">
            <wp:extent cx="4744720" cy="2596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4720" cy="2596515"/>
                    </a:xfrm>
                    <a:prstGeom prst="rect">
                      <a:avLst/>
                    </a:prstGeom>
                    <a:noFill/>
                    <a:ln>
                      <a:noFill/>
                    </a:ln>
                  </pic:spPr>
                </pic:pic>
              </a:graphicData>
            </a:graphic>
          </wp:inline>
        </w:drawing>
      </w:r>
    </w:p>
    <w:p w:rsidR="00D31704" w:rsidRPr="00533627" w:rsidRDefault="00D31704" w:rsidP="00D31704">
      <w:pPr>
        <w:pStyle w:val="BodyText"/>
        <w:ind w:left="1440" w:hanging="720"/>
        <w:jc w:val="both"/>
        <w:rPr>
          <w:rFonts w:ascii="Trebuchet MS" w:hAnsi="Trebuchet MS"/>
          <w:b w:val="0"/>
          <w:sz w:val="22"/>
          <w:szCs w:val="22"/>
          <w:u w:val="single"/>
        </w:rPr>
      </w:pPr>
      <w:r>
        <w:rPr>
          <w:rFonts w:ascii="Trebuchet MS" w:hAnsi="Trebuchet MS"/>
          <w:b w:val="0"/>
          <w:sz w:val="22"/>
          <w:szCs w:val="22"/>
        </w:rPr>
        <w:t xml:space="preserve">                  </w:t>
      </w:r>
      <w:r w:rsidRPr="00533627">
        <w:rPr>
          <w:rFonts w:ascii="Trebuchet MS" w:hAnsi="Trebuchet MS"/>
          <w:b w:val="0"/>
          <w:sz w:val="22"/>
          <w:szCs w:val="22"/>
          <w:u w:val="single"/>
        </w:rPr>
        <w:t>Existing Floor Plans</w:t>
      </w:r>
      <w:r>
        <w:rPr>
          <w:rFonts w:ascii="Trebuchet MS" w:hAnsi="Trebuchet MS"/>
          <w:b w:val="0"/>
          <w:sz w:val="22"/>
          <w:szCs w:val="22"/>
        </w:rPr>
        <w:t xml:space="preserve">                               </w:t>
      </w:r>
      <w:r w:rsidRPr="00533627">
        <w:rPr>
          <w:rFonts w:ascii="Trebuchet MS" w:hAnsi="Trebuchet MS"/>
          <w:b w:val="0"/>
          <w:sz w:val="22"/>
          <w:szCs w:val="22"/>
          <w:u w:val="single"/>
        </w:rPr>
        <w:t>Proposed Floor Plans</w:t>
      </w:r>
    </w:p>
    <w:p w:rsidR="00D31704" w:rsidRPr="00FF3B1B" w:rsidRDefault="00D31704" w:rsidP="00D31704">
      <w:pPr>
        <w:pStyle w:val="BodyText"/>
        <w:ind w:left="1440" w:hanging="720"/>
        <w:jc w:val="both"/>
        <w:rPr>
          <w:rFonts w:ascii="Trebuchet MS" w:hAnsi="Trebuchet MS"/>
          <w:b w:val="0"/>
          <w:sz w:val="22"/>
          <w:szCs w:val="22"/>
        </w:rPr>
      </w:pPr>
    </w:p>
    <w:p w:rsidR="00D31704" w:rsidRPr="00FF3B1B" w:rsidRDefault="00D31704" w:rsidP="00D31704">
      <w:pPr>
        <w:numPr>
          <w:ilvl w:val="0"/>
          <w:numId w:val="24"/>
        </w:numPr>
        <w:ind w:hanging="720"/>
        <w:jc w:val="both"/>
        <w:rPr>
          <w:b/>
          <w:bCs/>
          <w:sz w:val="22"/>
          <w:szCs w:val="22"/>
        </w:rPr>
      </w:pPr>
      <w:r w:rsidRPr="00FF3B1B">
        <w:rPr>
          <w:b/>
          <w:bCs/>
          <w:sz w:val="22"/>
          <w:szCs w:val="22"/>
        </w:rPr>
        <w:t xml:space="preserve">RELEVANT PLANNING HISTORY </w:t>
      </w:r>
    </w:p>
    <w:p w:rsidR="00D31704" w:rsidRPr="00FF3B1B" w:rsidRDefault="00D31704" w:rsidP="00D31704">
      <w:pPr>
        <w:jc w:val="both"/>
        <w:rPr>
          <w:b/>
          <w:bCs/>
          <w:sz w:val="22"/>
          <w:szCs w:val="22"/>
        </w:rPr>
      </w:pPr>
    </w:p>
    <w:p w:rsidR="00D31704" w:rsidRPr="004D4304" w:rsidRDefault="00D31704" w:rsidP="00D31704">
      <w:pPr>
        <w:ind w:left="720"/>
        <w:jc w:val="both"/>
        <w:rPr>
          <w:bCs/>
          <w:sz w:val="22"/>
          <w:szCs w:val="22"/>
        </w:rPr>
      </w:pPr>
      <w:r>
        <w:rPr>
          <w:bCs/>
          <w:sz w:val="22"/>
          <w:szCs w:val="22"/>
        </w:rPr>
        <w:t>None</w:t>
      </w:r>
    </w:p>
    <w:p w:rsidR="00D31704" w:rsidRPr="00FF3B1B" w:rsidRDefault="00D31704" w:rsidP="00D31704">
      <w:pPr>
        <w:jc w:val="both"/>
        <w:rPr>
          <w:b/>
          <w:bCs/>
          <w:sz w:val="22"/>
          <w:szCs w:val="22"/>
        </w:rPr>
      </w:pPr>
    </w:p>
    <w:p w:rsidR="00D31704" w:rsidRPr="00FF3B1B" w:rsidRDefault="00D31704" w:rsidP="00D31704">
      <w:pPr>
        <w:jc w:val="both"/>
        <w:rPr>
          <w:b/>
          <w:bCs/>
          <w:sz w:val="22"/>
          <w:szCs w:val="22"/>
        </w:rPr>
      </w:pPr>
      <w:r w:rsidRPr="00FF3B1B">
        <w:rPr>
          <w:b/>
          <w:bCs/>
          <w:sz w:val="22"/>
          <w:szCs w:val="22"/>
        </w:rPr>
        <w:t>4.</w:t>
      </w:r>
      <w:r w:rsidRPr="00FF3B1B">
        <w:rPr>
          <w:b/>
          <w:bCs/>
          <w:sz w:val="22"/>
          <w:szCs w:val="22"/>
        </w:rPr>
        <w:tab/>
        <w:t>CONSULTATIONS</w:t>
      </w:r>
    </w:p>
    <w:p w:rsidR="00D31704" w:rsidRPr="00FF3B1B" w:rsidRDefault="00D31704" w:rsidP="00D31704">
      <w:pPr>
        <w:jc w:val="both"/>
        <w:rPr>
          <w:b/>
          <w:bCs/>
          <w:sz w:val="22"/>
          <w:szCs w:val="22"/>
        </w:rPr>
      </w:pPr>
    </w:p>
    <w:p w:rsidR="00D31704" w:rsidRDefault="00D31704" w:rsidP="00D31704">
      <w:pPr>
        <w:ind w:left="720"/>
        <w:jc w:val="both"/>
        <w:rPr>
          <w:sz w:val="22"/>
          <w:szCs w:val="22"/>
        </w:rPr>
      </w:pPr>
      <w:r w:rsidRPr="00FF3B1B">
        <w:rPr>
          <w:sz w:val="22"/>
          <w:szCs w:val="22"/>
        </w:rPr>
        <w:t>The following addresses were consulted by letter.</w:t>
      </w:r>
    </w:p>
    <w:p w:rsidR="00D31704" w:rsidRPr="00FF3B1B" w:rsidRDefault="00D31704" w:rsidP="00D31704">
      <w:pPr>
        <w:ind w:left="720"/>
        <w:jc w:val="both"/>
        <w:rPr>
          <w:b/>
          <w:sz w:val="22"/>
          <w:szCs w:val="22"/>
        </w:rPr>
      </w:pPr>
    </w:p>
    <w:p w:rsidR="00D31704" w:rsidRPr="00FF3B1B" w:rsidRDefault="00D31704" w:rsidP="00D31704">
      <w:pPr>
        <w:ind w:left="720"/>
        <w:rPr>
          <w:sz w:val="22"/>
          <w:szCs w:val="22"/>
        </w:rPr>
      </w:pPr>
      <w:r w:rsidRPr="00FF3B1B">
        <w:rPr>
          <w:sz w:val="22"/>
          <w:szCs w:val="22"/>
        </w:rPr>
        <w:t>12 Windermere Road, Reading, RG2 7HP</w:t>
      </w:r>
    </w:p>
    <w:p w:rsidR="00D31704" w:rsidRPr="00FF3B1B" w:rsidRDefault="00D31704" w:rsidP="00D31704">
      <w:pPr>
        <w:ind w:left="720"/>
        <w:rPr>
          <w:sz w:val="22"/>
          <w:szCs w:val="22"/>
        </w:rPr>
      </w:pPr>
      <w:r>
        <w:rPr>
          <w:sz w:val="22"/>
          <w:szCs w:val="22"/>
        </w:rPr>
        <w:t>31 Stanhope Road, Reading, RG2 7HW</w:t>
      </w:r>
    </w:p>
    <w:p w:rsidR="00D31704" w:rsidRPr="00FF3B1B" w:rsidRDefault="00D31704" w:rsidP="00D31704">
      <w:pPr>
        <w:ind w:left="720"/>
        <w:rPr>
          <w:sz w:val="22"/>
          <w:szCs w:val="22"/>
        </w:rPr>
      </w:pPr>
      <w:r w:rsidRPr="00FF3B1B">
        <w:rPr>
          <w:sz w:val="22"/>
          <w:szCs w:val="22"/>
        </w:rPr>
        <w:t>8 Windermere Road, Reading, RG2 7HP</w:t>
      </w:r>
    </w:p>
    <w:p w:rsidR="00D31704" w:rsidRPr="00FF3B1B" w:rsidRDefault="00D31704" w:rsidP="00D31704">
      <w:pPr>
        <w:ind w:left="720"/>
        <w:rPr>
          <w:sz w:val="22"/>
          <w:szCs w:val="22"/>
        </w:rPr>
      </w:pPr>
      <w:r w:rsidRPr="00FF3B1B">
        <w:rPr>
          <w:sz w:val="22"/>
          <w:szCs w:val="22"/>
        </w:rPr>
        <w:t>29 Stanhope Road, Reading, RG2 7HW</w:t>
      </w:r>
    </w:p>
    <w:p w:rsidR="00D31704" w:rsidRDefault="00D31704" w:rsidP="00D31704">
      <w:pPr>
        <w:ind w:left="720"/>
        <w:rPr>
          <w:sz w:val="22"/>
          <w:szCs w:val="22"/>
        </w:rPr>
      </w:pPr>
      <w:r w:rsidRPr="00FF3B1B">
        <w:rPr>
          <w:sz w:val="22"/>
          <w:szCs w:val="22"/>
        </w:rPr>
        <w:t>29A Stanhope Road, Reading, RG2 7HW</w:t>
      </w:r>
    </w:p>
    <w:p w:rsidR="00D31704" w:rsidRPr="00FF3B1B" w:rsidRDefault="00D31704" w:rsidP="00D31704">
      <w:pPr>
        <w:ind w:left="1440" w:hanging="720"/>
        <w:jc w:val="both"/>
        <w:rPr>
          <w:sz w:val="22"/>
          <w:szCs w:val="22"/>
        </w:rPr>
      </w:pPr>
    </w:p>
    <w:p w:rsidR="00D31704" w:rsidRPr="00FF3B1B" w:rsidRDefault="00D31704" w:rsidP="00D31704">
      <w:pPr>
        <w:ind w:left="1440" w:hanging="720"/>
        <w:jc w:val="both"/>
        <w:rPr>
          <w:sz w:val="22"/>
          <w:szCs w:val="22"/>
        </w:rPr>
      </w:pPr>
      <w:r>
        <w:rPr>
          <w:sz w:val="22"/>
          <w:szCs w:val="22"/>
        </w:rPr>
        <w:t>No l</w:t>
      </w:r>
      <w:r w:rsidRPr="00FF3B1B">
        <w:rPr>
          <w:sz w:val="22"/>
          <w:szCs w:val="22"/>
        </w:rPr>
        <w:t>etters of re</w:t>
      </w:r>
      <w:r>
        <w:rPr>
          <w:sz w:val="22"/>
          <w:szCs w:val="22"/>
        </w:rPr>
        <w:t>presentation have been received.</w:t>
      </w:r>
    </w:p>
    <w:p w:rsidR="00D31704" w:rsidRDefault="00F27AB5" w:rsidP="00F27AB5">
      <w:pPr>
        <w:overflowPunct/>
        <w:adjustRightInd/>
        <w:ind w:left="720"/>
        <w:jc w:val="both"/>
        <w:textAlignment w:val="auto"/>
        <w:rPr>
          <w:sz w:val="22"/>
          <w:szCs w:val="22"/>
        </w:rPr>
      </w:pPr>
      <w:bookmarkStart w:id="0" w:name="_GoBack"/>
      <w:bookmarkEnd w:id="0"/>
      <w:r>
        <w:rPr>
          <w:sz w:val="22"/>
          <w:szCs w:val="22"/>
        </w:rPr>
        <w:t>The agent has extensively reduced the size of the originally submitted scheme, on advice from the LPA.</w:t>
      </w:r>
    </w:p>
    <w:p w:rsidR="00D31704" w:rsidRPr="00EF5A42" w:rsidRDefault="00D31704" w:rsidP="00D31704">
      <w:pPr>
        <w:overflowPunct/>
        <w:adjustRightInd/>
        <w:ind w:left="720"/>
        <w:jc w:val="both"/>
        <w:textAlignment w:val="auto"/>
        <w:rPr>
          <w:rFonts w:cs="Arial"/>
          <w:b/>
          <w:bCs/>
          <w:color w:val="000000"/>
          <w:sz w:val="22"/>
          <w:szCs w:val="22"/>
          <w:lang w:eastAsia="en-GB"/>
        </w:rPr>
      </w:pPr>
      <w:r w:rsidRPr="00EF5A42">
        <w:rPr>
          <w:rFonts w:cs="Arial"/>
          <w:b/>
          <w:bCs/>
          <w:color w:val="000000"/>
          <w:sz w:val="22"/>
          <w:szCs w:val="22"/>
          <w:lang w:eastAsia="en-GB"/>
        </w:rPr>
        <w:t>Equality Act 2010:</w:t>
      </w:r>
    </w:p>
    <w:p w:rsidR="00D31704" w:rsidRPr="00EF5A42" w:rsidRDefault="00D31704" w:rsidP="00D31704">
      <w:pPr>
        <w:overflowPunct/>
        <w:adjustRightInd/>
        <w:ind w:left="720"/>
        <w:jc w:val="both"/>
        <w:textAlignment w:val="auto"/>
        <w:rPr>
          <w:rFonts w:cs="Arial"/>
          <w:bCs/>
          <w:color w:val="000000"/>
          <w:sz w:val="22"/>
          <w:szCs w:val="22"/>
          <w:lang w:eastAsia="en-GB"/>
        </w:rPr>
      </w:pPr>
      <w:r w:rsidRPr="00EF5A4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31704" w:rsidRPr="00FF3B1B" w:rsidRDefault="00D31704" w:rsidP="00D31704">
      <w:pPr>
        <w:ind w:left="720" w:hanging="720"/>
        <w:jc w:val="both"/>
        <w:rPr>
          <w:sz w:val="22"/>
          <w:szCs w:val="22"/>
        </w:rPr>
      </w:pPr>
    </w:p>
    <w:p w:rsidR="00D31704" w:rsidRPr="00FF3B1B" w:rsidRDefault="00D31704" w:rsidP="00D31704">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D31704" w:rsidRPr="00FF3B1B" w:rsidRDefault="00D31704" w:rsidP="00D31704">
      <w:pPr>
        <w:ind w:left="720"/>
        <w:jc w:val="both"/>
        <w:rPr>
          <w:bCs/>
          <w:sz w:val="22"/>
          <w:szCs w:val="22"/>
          <w:lang w:eastAsia="en-GB"/>
        </w:rPr>
      </w:pPr>
    </w:p>
    <w:p w:rsidR="00D31704" w:rsidRPr="00FF3B1B" w:rsidRDefault="00D31704" w:rsidP="00D31704">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31704" w:rsidRDefault="00D31704" w:rsidP="00D31704">
      <w:pPr>
        <w:jc w:val="both"/>
        <w:rPr>
          <w:rFonts w:cs="TrebuchetMS"/>
          <w:sz w:val="22"/>
          <w:szCs w:val="22"/>
          <w:highlight w:val="yellow"/>
          <w:lang w:eastAsia="en-GB"/>
        </w:rPr>
      </w:pPr>
    </w:p>
    <w:p w:rsidR="00D31704" w:rsidRPr="00FF3B1B" w:rsidRDefault="00D31704" w:rsidP="00D31704">
      <w:pPr>
        <w:ind w:left="720"/>
        <w:jc w:val="both"/>
        <w:rPr>
          <w:b/>
          <w:bCs/>
          <w:sz w:val="22"/>
          <w:szCs w:val="22"/>
          <w:u w:val="single"/>
          <w:lang w:eastAsia="en-GB"/>
        </w:rPr>
      </w:pPr>
      <w:r w:rsidRPr="00FF3B1B">
        <w:rPr>
          <w:b/>
          <w:bCs/>
          <w:sz w:val="22"/>
          <w:szCs w:val="22"/>
          <w:u w:val="single"/>
          <w:lang w:eastAsia="en-GB"/>
        </w:rPr>
        <w:t>National Policy</w:t>
      </w:r>
    </w:p>
    <w:p w:rsidR="00D31704" w:rsidRPr="00FF3B1B" w:rsidRDefault="00D31704" w:rsidP="00D31704">
      <w:pPr>
        <w:ind w:left="720"/>
        <w:jc w:val="both"/>
        <w:rPr>
          <w:bCs/>
          <w:sz w:val="22"/>
          <w:szCs w:val="22"/>
          <w:lang w:eastAsia="en-GB"/>
        </w:rPr>
      </w:pPr>
      <w:r w:rsidRPr="00FF3B1B">
        <w:rPr>
          <w:bCs/>
          <w:sz w:val="22"/>
          <w:szCs w:val="22"/>
          <w:lang w:eastAsia="en-GB"/>
        </w:rPr>
        <w:t xml:space="preserve">National Planning Policy Framework </w:t>
      </w:r>
    </w:p>
    <w:p w:rsidR="00D31704" w:rsidRPr="00FF3B1B" w:rsidRDefault="00D31704" w:rsidP="00D31704">
      <w:pPr>
        <w:ind w:left="720"/>
        <w:jc w:val="both"/>
        <w:rPr>
          <w:bCs/>
          <w:sz w:val="22"/>
          <w:szCs w:val="22"/>
          <w:lang w:eastAsia="en-GB"/>
        </w:rPr>
      </w:pPr>
      <w:r w:rsidRPr="00FF3B1B">
        <w:rPr>
          <w:bCs/>
          <w:sz w:val="22"/>
          <w:szCs w:val="22"/>
          <w:lang w:eastAsia="en-GB"/>
        </w:rPr>
        <w:t>National Planning Practice Guidance</w:t>
      </w:r>
    </w:p>
    <w:p w:rsidR="00D31704" w:rsidRDefault="00D31704" w:rsidP="00D31704">
      <w:pPr>
        <w:ind w:left="720"/>
        <w:jc w:val="both"/>
        <w:rPr>
          <w:bCs/>
          <w:sz w:val="22"/>
          <w:szCs w:val="22"/>
          <w:lang w:eastAsia="en-GB"/>
        </w:rPr>
      </w:pPr>
    </w:p>
    <w:p w:rsidR="00D31704" w:rsidRPr="00FF3B1B" w:rsidRDefault="00D31704" w:rsidP="00D31704">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31704" w:rsidRPr="00917B3D" w:rsidRDefault="00D31704" w:rsidP="00D31704">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31704" w:rsidRPr="00917B3D" w:rsidRDefault="00D31704" w:rsidP="00D31704">
      <w:pPr>
        <w:ind w:left="720"/>
        <w:jc w:val="both"/>
        <w:rPr>
          <w:bCs/>
          <w:sz w:val="22"/>
          <w:szCs w:val="22"/>
        </w:rPr>
      </w:pPr>
      <w:r>
        <w:rPr>
          <w:bCs/>
          <w:sz w:val="22"/>
          <w:szCs w:val="22"/>
        </w:rPr>
        <w:t>CC8</w:t>
      </w:r>
      <w:r w:rsidRPr="00917B3D">
        <w:rPr>
          <w:bCs/>
          <w:sz w:val="22"/>
          <w:szCs w:val="22"/>
        </w:rPr>
        <w:t xml:space="preserve"> (Safeguarding Amenity) </w:t>
      </w:r>
    </w:p>
    <w:p w:rsidR="00D31704" w:rsidRPr="00917B3D" w:rsidRDefault="00D31704" w:rsidP="00D31704">
      <w:pPr>
        <w:ind w:left="720"/>
        <w:jc w:val="both"/>
        <w:rPr>
          <w:bCs/>
          <w:sz w:val="22"/>
          <w:szCs w:val="22"/>
        </w:rPr>
      </w:pPr>
      <w:r>
        <w:rPr>
          <w:bCs/>
          <w:sz w:val="22"/>
          <w:szCs w:val="22"/>
        </w:rPr>
        <w:t>H9</w:t>
      </w:r>
      <w:r w:rsidRPr="00917B3D">
        <w:rPr>
          <w:bCs/>
          <w:sz w:val="22"/>
          <w:szCs w:val="22"/>
        </w:rPr>
        <w:t xml:space="preserve"> (House Extensions and Ancillary Accommodation)</w:t>
      </w:r>
    </w:p>
    <w:p w:rsidR="00D31704" w:rsidRPr="00FF3B1B" w:rsidRDefault="00D31704" w:rsidP="00D31704">
      <w:pPr>
        <w:jc w:val="both"/>
        <w:rPr>
          <w:bCs/>
          <w:sz w:val="22"/>
          <w:szCs w:val="22"/>
          <w:lang w:eastAsia="en-GB"/>
        </w:rPr>
      </w:pPr>
    </w:p>
    <w:p w:rsidR="00D31704" w:rsidRPr="00FF3B1B" w:rsidRDefault="00D31704" w:rsidP="00D31704">
      <w:pPr>
        <w:ind w:left="720"/>
        <w:jc w:val="both"/>
        <w:rPr>
          <w:b/>
          <w:bCs/>
          <w:sz w:val="22"/>
          <w:szCs w:val="22"/>
          <w:u w:val="single"/>
          <w:lang w:eastAsia="en-GB"/>
        </w:rPr>
      </w:pPr>
      <w:r w:rsidRPr="00FF3B1B">
        <w:rPr>
          <w:b/>
          <w:bCs/>
          <w:sz w:val="22"/>
          <w:szCs w:val="22"/>
          <w:u w:val="single"/>
          <w:lang w:eastAsia="en-GB"/>
        </w:rPr>
        <w:t>SPD</w:t>
      </w:r>
    </w:p>
    <w:p w:rsidR="00D31704" w:rsidRDefault="00D31704" w:rsidP="00D31704">
      <w:pPr>
        <w:overflowPunct/>
        <w:autoSpaceDE/>
        <w:autoSpaceDN/>
        <w:adjustRightInd/>
        <w:ind w:left="720"/>
        <w:textAlignment w:val="auto"/>
        <w:rPr>
          <w:sz w:val="22"/>
          <w:szCs w:val="22"/>
        </w:rPr>
      </w:pPr>
      <w:r w:rsidRPr="00FF3B1B">
        <w:rPr>
          <w:sz w:val="22"/>
          <w:szCs w:val="22"/>
        </w:rPr>
        <w:t>Desi</w:t>
      </w:r>
      <w:r>
        <w:rPr>
          <w:sz w:val="22"/>
          <w:szCs w:val="22"/>
        </w:rPr>
        <w:t>gn</w:t>
      </w:r>
      <w:r w:rsidR="003468C6">
        <w:rPr>
          <w:sz w:val="22"/>
          <w:szCs w:val="22"/>
        </w:rPr>
        <w:t xml:space="preserve"> Guide to House Extensions (2021</w:t>
      </w:r>
      <w:r>
        <w:rPr>
          <w:sz w:val="22"/>
          <w:szCs w:val="22"/>
        </w:rPr>
        <w:t>)</w:t>
      </w:r>
    </w:p>
    <w:p w:rsidR="00D31704" w:rsidRPr="00FA05A6" w:rsidRDefault="00D31704" w:rsidP="00D31704">
      <w:pPr>
        <w:ind w:left="720"/>
        <w:jc w:val="both"/>
        <w:rPr>
          <w:sz w:val="22"/>
          <w:szCs w:val="22"/>
        </w:rPr>
      </w:pPr>
      <w:r w:rsidRPr="00EF5A42">
        <w:rPr>
          <w:sz w:val="22"/>
          <w:szCs w:val="22"/>
        </w:rPr>
        <w:t>Revised Parking Standards and Design SPD 2011</w:t>
      </w:r>
    </w:p>
    <w:p w:rsidR="00D31704" w:rsidRPr="00FF3B1B" w:rsidRDefault="00D31704" w:rsidP="00D31704">
      <w:pPr>
        <w:overflowPunct/>
        <w:autoSpaceDE/>
        <w:autoSpaceDN/>
        <w:adjustRightInd/>
        <w:ind w:left="720"/>
        <w:textAlignment w:val="auto"/>
        <w:rPr>
          <w:sz w:val="22"/>
          <w:szCs w:val="22"/>
        </w:rPr>
      </w:pPr>
    </w:p>
    <w:p w:rsidR="00D31704" w:rsidRPr="00FF3B1B" w:rsidRDefault="00D31704" w:rsidP="00D31704">
      <w:pPr>
        <w:jc w:val="both"/>
        <w:rPr>
          <w:b/>
          <w:bCs/>
          <w:sz w:val="22"/>
          <w:szCs w:val="22"/>
        </w:rPr>
      </w:pPr>
    </w:p>
    <w:p w:rsidR="00D31704" w:rsidRPr="00FF3B1B" w:rsidRDefault="00D31704" w:rsidP="00D31704">
      <w:pPr>
        <w:jc w:val="both"/>
        <w:rPr>
          <w:b/>
          <w:bCs/>
          <w:sz w:val="22"/>
          <w:szCs w:val="22"/>
        </w:rPr>
      </w:pPr>
      <w:r w:rsidRPr="00FF3B1B">
        <w:rPr>
          <w:b/>
          <w:bCs/>
          <w:sz w:val="22"/>
          <w:szCs w:val="22"/>
        </w:rPr>
        <w:t>6.</w:t>
      </w:r>
      <w:r w:rsidRPr="00FF3B1B">
        <w:rPr>
          <w:b/>
          <w:bCs/>
          <w:sz w:val="22"/>
          <w:szCs w:val="22"/>
        </w:rPr>
        <w:tab/>
        <w:t>APPRAISAL</w:t>
      </w:r>
    </w:p>
    <w:p w:rsidR="00D31704" w:rsidRPr="006D3285" w:rsidRDefault="00D31704" w:rsidP="00D31704">
      <w:pPr>
        <w:ind w:left="720"/>
        <w:rPr>
          <w:b/>
          <w:bCs/>
          <w:sz w:val="22"/>
          <w:szCs w:val="22"/>
          <w:u w:val="single"/>
          <w:lang w:eastAsia="en-GB"/>
        </w:rPr>
      </w:pPr>
      <w:r w:rsidRPr="006D3285">
        <w:rPr>
          <w:b/>
          <w:bCs/>
          <w:sz w:val="22"/>
          <w:szCs w:val="22"/>
          <w:u w:val="single"/>
          <w:lang w:eastAsia="en-GB"/>
        </w:rPr>
        <w:t>Character and Appearance</w:t>
      </w:r>
    </w:p>
    <w:p w:rsidR="00D31704" w:rsidRPr="00FA05A6" w:rsidRDefault="00D31704" w:rsidP="00D31704">
      <w:pPr>
        <w:ind w:left="720"/>
        <w:rPr>
          <w:sz w:val="22"/>
          <w:szCs w:val="22"/>
          <w:lang w:eastAsia="en-GB"/>
        </w:rPr>
      </w:pPr>
    </w:p>
    <w:p w:rsidR="00D31704" w:rsidRDefault="00D31704" w:rsidP="00D31704">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D31704" w:rsidRDefault="00D31704" w:rsidP="00D31704">
      <w:pPr>
        <w:overflowPunct/>
        <w:adjustRightInd/>
        <w:ind w:left="720"/>
        <w:contextualSpacing/>
        <w:textAlignment w:val="auto"/>
        <w:rPr>
          <w:sz w:val="22"/>
          <w:szCs w:val="22"/>
          <w:lang w:eastAsia="en-GB"/>
        </w:rPr>
      </w:pPr>
    </w:p>
    <w:p w:rsidR="00D31704" w:rsidRDefault="00D31704" w:rsidP="00D31704">
      <w:pPr>
        <w:overflowPunct/>
        <w:adjustRightInd/>
        <w:ind w:left="720"/>
        <w:contextualSpacing/>
        <w:jc w:val="both"/>
        <w:textAlignment w:val="auto"/>
        <w:rPr>
          <w:sz w:val="22"/>
          <w:szCs w:val="22"/>
          <w:lang w:eastAsia="en-GB"/>
        </w:rPr>
      </w:pPr>
      <w:r w:rsidRPr="00A34E5A">
        <w:rPr>
          <w:sz w:val="22"/>
          <w:szCs w:val="22"/>
          <w:lang w:eastAsia="en-GB"/>
        </w:rPr>
        <w:t>This proposal would create a long continuous wall on the boundary with the neighbouring property at No 12. However, this effect already largely exists as a result of the existing side structure and the outbuilding to the rear. The effect is further mitigated by the m</w:t>
      </w:r>
      <w:r w:rsidR="00A34E5A" w:rsidRPr="00A34E5A">
        <w:rPr>
          <w:sz w:val="22"/>
          <w:szCs w:val="22"/>
          <w:lang w:eastAsia="en-GB"/>
        </w:rPr>
        <w:t>odest height of the extension (2</w:t>
      </w:r>
      <w:r w:rsidRPr="00A34E5A">
        <w:rPr>
          <w:sz w:val="22"/>
          <w:szCs w:val="22"/>
          <w:lang w:eastAsia="en-GB"/>
        </w:rPr>
        <w:t>.8m) which would be hardly visible above the dividing fence between the two properties.</w:t>
      </w:r>
    </w:p>
    <w:p w:rsidR="00A34E5A" w:rsidRDefault="00A34E5A" w:rsidP="00D31704">
      <w:pPr>
        <w:overflowPunct/>
        <w:adjustRightInd/>
        <w:ind w:left="720"/>
        <w:contextualSpacing/>
        <w:jc w:val="both"/>
        <w:textAlignment w:val="auto"/>
        <w:rPr>
          <w:sz w:val="22"/>
          <w:szCs w:val="22"/>
          <w:lang w:eastAsia="en-GB"/>
        </w:rPr>
      </w:pPr>
    </w:p>
    <w:p w:rsidR="00A34E5A" w:rsidRDefault="00A34E5A" w:rsidP="00D31704">
      <w:pPr>
        <w:overflowPunct/>
        <w:adjustRightInd/>
        <w:ind w:left="720"/>
        <w:contextualSpacing/>
        <w:jc w:val="both"/>
        <w:textAlignment w:val="auto"/>
        <w:rPr>
          <w:sz w:val="22"/>
          <w:szCs w:val="22"/>
          <w:lang w:eastAsia="en-GB"/>
        </w:rPr>
      </w:pPr>
      <w:r>
        <w:rPr>
          <w:sz w:val="22"/>
          <w:szCs w:val="22"/>
          <w:lang w:eastAsia="en-GB"/>
        </w:rPr>
        <w:t>Following the advice of the LPA, the agent has massively reduced the scale of the originally submitted application, bringing the effective rear depth of the extension from 6.4m to 3m.</w:t>
      </w:r>
    </w:p>
    <w:p w:rsidR="00D31704" w:rsidRDefault="00D31704" w:rsidP="00D31704">
      <w:pPr>
        <w:overflowPunct/>
        <w:adjustRightInd/>
        <w:ind w:left="720"/>
        <w:contextualSpacing/>
        <w:jc w:val="both"/>
        <w:textAlignment w:val="auto"/>
        <w:rPr>
          <w:sz w:val="22"/>
          <w:szCs w:val="22"/>
          <w:lang w:eastAsia="en-GB"/>
        </w:rPr>
      </w:pPr>
    </w:p>
    <w:p w:rsidR="00D31704" w:rsidRPr="006D3285" w:rsidRDefault="00D31704" w:rsidP="00D31704">
      <w:pPr>
        <w:overflowPunct/>
        <w:adjustRightInd/>
        <w:ind w:left="720"/>
        <w:contextualSpacing/>
        <w:jc w:val="both"/>
        <w:textAlignment w:val="auto"/>
        <w:rPr>
          <w:sz w:val="22"/>
          <w:szCs w:val="22"/>
          <w:lang w:eastAsia="en-GB"/>
        </w:rPr>
      </w:pPr>
      <w:r>
        <w:rPr>
          <w:sz w:val="22"/>
          <w:szCs w:val="22"/>
          <w:lang w:eastAsia="en-GB"/>
        </w:rPr>
        <w:t>It is therefore considered that the scale, location, materials and design of the proposal are sympathetic to the existing dwelling and its surrounding environment.</w:t>
      </w:r>
    </w:p>
    <w:p w:rsidR="00D31704" w:rsidRPr="00FA05A6" w:rsidRDefault="00D31704" w:rsidP="00D31704">
      <w:pPr>
        <w:overflowPunct/>
        <w:adjustRightInd/>
        <w:ind w:left="720"/>
        <w:contextualSpacing/>
        <w:textAlignment w:val="auto"/>
        <w:rPr>
          <w:sz w:val="22"/>
          <w:szCs w:val="22"/>
          <w:u w:val="single"/>
          <w:lang w:eastAsia="en-GB"/>
        </w:rPr>
      </w:pPr>
    </w:p>
    <w:p w:rsidR="00D31704" w:rsidRPr="00FA05A6" w:rsidRDefault="00D31704" w:rsidP="00D31704">
      <w:pPr>
        <w:ind w:left="720"/>
        <w:rPr>
          <w:b/>
          <w:bCs/>
          <w:sz w:val="22"/>
          <w:szCs w:val="22"/>
          <w:u w:val="single"/>
          <w:lang w:eastAsia="en-GB"/>
        </w:rPr>
      </w:pPr>
      <w:r w:rsidRPr="006D3285">
        <w:rPr>
          <w:b/>
          <w:bCs/>
          <w:sz w:val="22"/>
          <w:szCs w:val="22"/>
          <w:u w:val="single"/>
          <w:lang w:eastAsia="en-GB"/>
        </w:rPr>
        <w:t>Residential Amenity</w:t>
      </w:r>
    </w:p>
    <w:p w:rsidR="00D31704" w:rsidRPr="00FA05A6" w:rsidRDefault="00D31704" w:rsidP="00D31704">
      <w:pPr>
        <w:ind w:left="720"/>
        <w:rPr>
          <w:b/>
          <w:bCs/>
          <w:sz w:val="22"/>
          <w:szCs w:val="22"/>
          <w:u w:val="single"/>
          <w:lang w:eastAsia="en-GB"/>
        </w:rPr>
      </w:pPr>
    </w:p>
    <w:p w:rsidR="00D31704" w:rsidRPr="006D3285" w:rsidRDefault="00D31704" w:rsidP="00D31704">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D31704" w:rsidRDefault="00D31704" w:rsidP="00D31704">
      <w:pPr>
        <w:overflowPunct/>
        <w:autoSpaceDE/>
        <w:autoSpaceDN/>
        <w:adjustRightInd/>
        <w:contextualSpacing/>
        <w:jc w:val="both"/>
        <w:textAlignment w:val="auto"/>
        <w:rPr>
          <w:iCs/>
          <w:color w:val="000000"/>
          <w:sz w:val="22"/>
          <w:szCs w:val="22"/>
          <w:lang w:eastAsia="en-GB"/>
        </w:rPr>
      </w:pPr>
      <w:r w:rsidRPr="000F508D">
        <w:rPr>
          <w:iCs/>
          <w:color w:val="000000"/>
          <w:sz w:val="22"/>
          <w:szCs w:val="22"/>
          <w:lang w:eastAsia="en-GB"/>
        </w:rPr>
        <w:t xml:space="preserve"> </w:t>
      </w:r>
    </w:p>
    <w:p w:rsidR="00D31704" w:rsidRPr="00A34E5A" w:rsidRDefault="00D31704" w:rsidP="00D31704">
      <w:pPr>
        <w:overflowPunct/>
        <w:autoSpaceDE/>
        <w:autoSpaceDN/>
        <w:adjustRightInd/>
        <w:ind w:left="720"/>
        <w:contextualSpacing/>
        <w:jc w:val="both"/>
        <w:textAlignment w:val="auto"/>
        <w:rPr>
          <w:iCs/>
          <w:color w:val="000000"/>
          <w:sz w:val="22"/>
          <w:szCs w:val="22"/>
          <w:lang w:eastAsia="en-GB"/>
        </w:rPr>
      </w:pPr>
      <w:r w:rsidRPr="00A34E5A">
        <w:rPr>
          <w:iCs/>
          <w:color w:val="000000"/>
          <w:sz w:val="22"/>
          <w:szCs w:val="22"/>
          <w:lang w:eastAsia="en-GB"/>
        </w:rPr>
        <w:t>As stated above in this report, the extension proposed would be on the existing footprint of the outbuilding and the garage to the side. T</w:t>
      </w:r>
      <w:r w:rsidR="00A34E5A" w:rsidRPr="00A34E5A">
        <w:rPr>
          <w:iCs/>
          <w:color w:val="000000"/>
          <w:sz w:val="22"/>
          <w:szCs w:val="22"/>
          <w:lang w:eastAsia="en-GB"/>
        </w:rPr>
        <w:t>he height is limited to 2</w:t>
      </w:r>
      <w:r w:rsidRPr="00A34E5A">
        <w:rPr>
          <w:iCs/>
          <w:color w:val="000000"/>
          <w:sz w:val="22"/>
          <w:szCs w:val="22"/>
          <w:lang w:eastAsia="en-GB"/>
        </w:rPr>
        <w:t>.8m, ground to eaves. There are no side windows presented.</w:t>
      </w:r>
      <w:r w:rsidR="00A34E5A">
        <w:rPr>
          <w:iCs/>
          <w:color w:val="000000"/>
          <w:sz w:val="22"/>
          <w:szCs w:val="22"/>
          <w:lang w:eastAsia="en-GB"/>
        </w:rPr>
        <w:t xml:space="preserve"> Initial concerns raised by the LPA with the original submission regarding the prospective living conditions have been allayed by the </w:t>
      </w:r>
      <w:r w:rsidR="00A34E5A">
        <w:rPr>
          <w:iCs/>
          <w:color w:val="000000"/>
          <w:sz w:val="22"/>
          <w:szCs w:val="22"/>
          <w:lang w:eastAsia="en-GB"/>
        </w:rPr>
        <w:lastRenderedPageBreak/>
        <w:t>revised submissions. The side wall visible to the neighbours have also been reduced to 7m, with the limited height.</w:t>
      </w:r>
    </w:p>
    <w:p w:rsidR="00D31704" w:rsidRPr="00A34E5A" w:rsidRDefault="00D31704" w:rsidP="00D31704">
      <w:pPr>
        <w:overflowPunct/>
        <w:autoSpaceDE/>
        <w:autoSpaceDN/>
        <w:adjustRightInd/>
        <w:ind w:left="720"/>
        <w:contextualSpacing/>
        <w:jc w:val="both"/>
        <w:textAlignment w:val="auto"/>
        <w:rPr>
          <w:iCs/>
          <w:color w:val="000000"/>
          <w:sz w:val="22"/>
          <w:szCs w:val="22"/>
          <w:lang w:eastAsia="en-GB"/>
        </w:rPr>
      </w:pPr>
    </w:p>
    <w:p w:rsidR="00D31704" w:rsidRPr="000F508D" w:rsidRDefault="00D31704" w:rsidP="00D31704">
      <w:pPr>
        <w:overflowPunct/>
        <w:autoSpaceDE/>
        <w:autoSpaceDN/>
        <w:adjustRightInd/>
        <w:ind w:left="720"/>
        <w:contextualSpacing/>
        <w:jc w:val="both"/>
        <w:textAlignment w:val="auto"/>
        <w:rPr>
          <w:iCs/>
          <w:color w:val="000000"/>
          <w:sz w:val="22"/>
          <w:szCs w:val="22"/>
          <w:lang w:eastAsia="en-GB"/>
        </w:rPr>
      </w:pPr>
      <w:r w:rsidRPr="00A34E5A">
        <w:rPr>
          <w:iCs/>
          <w:color w:val="000000"/>
          <w:sz w:val="22"/>
          <w:szCs w:val="22"/>
          <w:lang w:eastAsia="en-GB"/>
        </w:rPr>
        <w:t>The proposal is not considered to present any additional sunlight/daylight assess impact to the property at No 12 and the limited height ensures that there is no overbearing  effect or overlooking presented by the long continuous wall on the boundary.</w:t>
      </w:r>
    </w:p>
    <w:p w:rsidR="00D31704" w:rsidRPr="00356D64" w:rsidRDefault="00D31704" w:rsidP="00D31704">
      <w:pPr>
        <w:jc w:val="both"/>
        <w:rPr>
          <w:color w:val="000000"/>
          <w:sz w:val="22"/>
          <w:szCs w:val="22"/>
          <w:lang w:eastAsia="en-GB"/>
        </w:rPr>
      </w:pPr>
    </w:p>
    <w:p w:rsidR="00D31704" w:rsidRDefault="00D31704" w:rsidP="00D3170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31704" w:rsidRPr="00FA05A6" w:rsidRDefault="00D31704" w:rsidP="00D31704">
      <w:pPr>
        <w:ind w:left="720"/>
        <w:jc w:val="both"/>
        <w:rPr>
          <w:bCs/>
          <w:sz w:val="22"/>
          <w:szCs w:val="22"/>
          <w:lang w:eastAsia="en-GB"/>
        </w:rPr>
      </w:pPr>
      <w:r w:rsidRPr="00EF5A42">
        <w:rPr>
          <w:bCs/>
          <w:sz w:val="22"/>
          <w:szCs w:val="22"/>
          <w:lang w:eastAsia="en-GB"/>
        </w:rPr>
        <w:t>The proposed development has been assessed as set out above and is considered to be acceptable on that basis, subject to the following conditions.</w:t>
      </w:r>
    </w:p>
    <w:p w:rsidR="00D31704" w:rsidRPr="00FA05A6" w:rsidRDefault="00D31704" w:rsidP="00D31704">
      <w:pPr>
        <w:jc w:val="both"/>
        <w:rPr>
          <w:rFonts w:cs="Trebuchet MS"/>
          <w:sz w:val="22"/>
          <w:szCs w:val="22"/>
          <w:u w:val="single"/>
          <w:lang w:eastAsia="en-GB"/>
        </w:rPr>
      </w:pPr>
    </w:p>
    <w:p w:rsidR="00D31704" w:rsidRPr="00FF3B1B" w:rsidRDefault="00D31704" w:rsidP="00D3170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D31704" w:rsidRDefault="00D31704" w:rsidP="00D31704">
      <w:pPr>
        <w:ind w:hanging="11"/>
        <w:jc w:val="both"/>
        <w:rPr>
          <w:rFonts w:cs="Trebuchet MS"/>
          <w:sz w:val="22"/>
          <w:szCs w:val="22"/>
          <w:u w:val="single"/>
          <w:lang w:eastAsia="en-GB"/>
        </w:rPr>
      </w:pPr>
    </w:p>
    <w:p w:rsidR="00D31704" w:rsidRDefault="00D31704" w:rsidP="00D31704">
      <w:pPr>
        <w:ind w:left="731" w:hanging="11"/>
        <w:jc w:val="both"/>
        <w:rPr>
          <w:rFonts w:cs="Trebuchet MS"/>
          <w:sz w:val="22"/>
          <w:szCs w:val="22"/>
          <w:lang w:eastAsia="en-GB"/>
        </w:rPr>
      </w:pPr>
      <w:r w:rsidRPr="006511AF">
        <w:rPr>
          <w:rFonts w:cs="Trebuchet MS"/>
          <w:sz w:val="22"/>
          <w:szCs w:val="22"/>
          <w:lang w:eastAsia="en-GB"/>
        </w:rPr>
        <w:t>Recommended Conditions:</w:t>
      </w:r>
    </w:p>
    <w:p w:rsidR="00D31704" w:rsidRDefault="00D31704" w:rsidP="00D31704">
      <w:pPr>
        <w:ind w:left="731" w:hanging="11"/>
        <w:jc w:val="both"/>
        <w:rPr>
          <w:rFonts w:cs="Trebuchet MS"/>
          <w:sz w:val="22"/>
          <w:szCs w:val="22"/>
          <w:lang w:eastAsia="en-GB"/>
        </w:rPr>
      </w:pPr>
      <w:r>
        <w:rPr>
          <w:rFonts w:cs="Trebuchet MS"/>
          <w:sz w:val="22"/>
          <w:szCs w:val="22"/>
          <w:lang w:eastAsia="en-GB"/>
        </w:rPr>
        <w:t>AP1: Approved Plans</w:t>
      </w:r>
    </w:p>
    <w:p w:rsidR="00D31704" w:rsidRDefault="00D31704" w:rsidP="00D31704">
      <w:pPr>
        <w:ind w:left="731" w:hanging="11"/>
        <w:jc w:val="both"/>
        <w:rPr>
          <w:rFonts w:cs="Trebuchet MS"/>
          <w:sz w:val="22"/>
          <w:szCs w:val="22"/>
          <w:lang w:eastAsia="en-GB"/>
        </w:rPr>
      </w:pPr>
      <w:r>
        <w:rPr>
          <w:rFonts w:cs="Trebuchet MS"/>
          <w:sz w:val="22"/>
          <w:szCs w:val="22"/>
          <w:lang w:eastAsia="en-GB"/>
        </w:rPr>
        <w:t>TL1: Time Limit Standards</w:t>
      </w:r>
    </w:p>
    <w:p w:rsidR="00D31704" w:rsidRDefault="00D31704" w:rsidP="00D31704">
      <w:pPr>
        <w:ind w:left="731" w:hanging="11"/>
        <w:jc w:val="both"/>
        <w:rPr>
          <w:rFonts w:cs="Trebuchet MS"/>
          <w:sz w:val="22"/>
          <w:szCs w:val="22"/>
          <w:lang w:eastAsia="en-GB"/>
        </w:rPr>
      </w:pPr>
      <w:r>
        <w:rPr>
          <w:rFonts w:cs="Trebuchet MS"/>
          <w:sz w:val="22"/>
          <w:szCs w:val="22"/>
          <w:lang w:eastAsia="en-GB"/>
        </w:rPr>
        <w:t>M1:Materials to Match Existing</w:t>
      </w:r>
    </w:p>
    <w:p w:rsidR="00D31704" w:rsidRPr="006511AF" w:rsidRDefault="00D31704" w:rsidP="00D31704">
      <w:pPr>
        <w:ind w:left="731" w:hanging="11"/>
        <w:jc w:val="both"/>
        <w:rPr>
          <w:rFonts w:cs="Trebuchet MS"/>
          <w:sz w:val="22"/>
          <w:szCs w:val="22"/>
          <w:lang w:eastAsia="en-GB"/>
        </w:rPr>
      </w:pPr>
      <w:r>
        <w:rPr>
          <w:rFonts w:cs="Trebuchet MS"/>
          <w:sz w:val="22"/>
          <w:szCs w:val="22"/>
          <w:lang w:eastAsia="en-GB"/>
        </w:rPr>
        <w:t>PD6: Ancillary Domestic Use</w:t>
      </w:r>
    </w:p>
    <w:p w:rsidR="00E40E2B" w:rsidRPr="00D31704" w:rsidRDefault="00E40E2B" w:rsidP="00D31704"/>
    <w:sectPr w:rsidR="00E40E2B" w:rsidRPr="00D31704" w:rsidSect="004D78C8">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7B" w:rsidRDefault="003D207B">
      <w:r>
        <w:separator/>
      </w:r>
    </w:p>
  </w:endnote>
  <w:endnote w:type="continuationSeparator" w:id="0">
    <w:p w:rsidR="003D207B" w:rsidRDefault="003D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145" w:rsidRDefault="006301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7B" w:rsidRDefault="003D207B">
      <w:r>
        <w:separator/>
      </w:r>
    </w:p>
  </w:footnote>
  <w:footnote w:type="continuationSeparator" w:id="0">
    <w:p w:rsidR="003D207B" w:rsidRDefault="003D2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1D20"/>
    <w:rsid w:val="000F508D"/>
    <w:rsid w:val="0022488D"/>
    <w:rsid w:val="002A3758"/>
    <w:rsid w:val="003468C6"/>
    <w:rsid w:val="003D207B"/>
    <w:rsid w:val="004D78C8"/>
    <w:rsid w:val="00630145"/>
    <w:rsid w:val="007A1052"/>
    <w:rsid w:val="009526D1"/>
    <w:rsid w:val="009A250B"/>
    <w:rsid w:val="009E626E"/>
    <w:rsid w:val="00A34E5A"/>
    <w:rsid w:val="00D31704"/>
    <w:rsid w:val="00E40E2B"/>
    <w:rsid w:val="00EE57EE"/>
    <w:rsid w:val="00EF5A42"/>
    <w:rsid w:val="00F2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23A3EDF0"/>
  <w15:chartTrackingRefBased/>
  <w15:docId w15:val="{DFDC92CD-1FE6-4B1E-AC7D-56F38193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3468C6"/>
    <w:rPr>
      <w:sz w:val="16"/>
      <w:szCs w:val="16"/>
    </w:rPr>
  </w:style>
  <w:style w:type="paragraph" w:styleId="CommentText">
    <w:name w:val="annotation text"/>
    <w:basedOn w:val="Normal"/>
    <w:link w:val="CommentTextChar"/>
    <w:rsid w:val="003468C6"/>
    <w:rPr>
      <w:sz w:val="20"/>
    </w:rPr>
  </w:style>
  <w:style w:type="character" w:customStyle="1" w:styleId="CommentTextChar">
    <w:name w:val="Comment Text Char"/>
    <w:link w:val="CommentText"/>
    <w:rsid w:val="003468C6"/>
    <w:rPr>
      <w:rFonts w:ascii="Trebuchet MS" w:hAnsi="Trebuchet MS"/>
      <w:lang w:eastAsia="en-US"/>
    </w:rPr>
  </w:style>
  <w:style w:type="paragraph" w:styleId="CommentSubject">
    <w:name w:val="annotation subject"/>
    <w:basedOn w:val="CommentText"/>
    <w:next w:val="CommentText"/>
    <w:link w:val="CommentSubjectChar"/>
    <w:rsid w:val="003468C6"/>
    <w:rPr>
      <w:b/>
      <w:bCs/>
    </w:rPr>
  </w:style>
  <w:style w:type="character" w:customStyle="1" w:styleId="CommentSubjectChar">
    <w:name w:val="Comment Subject Char"/>
    <w:link w:val="CommentSubject"/>
    <w:rsid w:val="003468C6"/>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2023-05-12T16:43:00Z</dcterms:created>
  <dcterms:modified xsi:type="dcterms:W3CDTF">2023-05-12T16:43:00Z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